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479C" w14:textId="20ED33F6" w:rsidR="007754D2" w:rsidRPr="00A55D42" w:rsidRDefault="0094435E" w:rsidP="008032E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Rut</w:t>
      </w:r>
      <w:r w:rsidR="00CA58D2" w:rsidRPr="00AA7D63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ine for arbeid med åpenhetsloven</w:t>
      </w:r>
      <w:r w:rsidR="00A55D42" w:rsidRPr="00AA7D63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 </w:t>
      </w:r>
    </w:p>
    <w:p w14:paraId="29F26ADC" w14:textId="77777777" w:rsidR="00CA58D2" w:rsidRDefault="00CA58D2" w:rsidP="008032E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147813C" w14:textId="77777777" w:rsidR="00CA58D2" w:rsidRDefault="00CA58D2" w:rsidP="008032E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59CB0067" w14:textId="77777777" w:rsidR="00137C9A" w:rsidRPr="00AA7D63" w:rsidRDefault="00137C9A" w:rsidP="00137C9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1. Innledning</w:t>
      </w:r>
    </w:p>
    <w:p w14:paraId="4172E4C0" w14:textId="77777777" w:rsidR="00191650" w:rsidRDefault="00191650" w:rsidP="003259B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543597E6" w14:textId="012533B1" w:rsidR="00137C9A" w:rsidRPr="00AA7D63" w:rsidRDefault="00170E78" w:rsidP="0087320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Åpenhetsloven ble innført </w:t>
      </w:r>
      <w:r w:rsidR="00CD1B64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f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ra 1. juli 2022</w:t>
      </w:r>
      <w:r w:rsidR="0019165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og har </w:t>
      </w:r>
      <w:r w:rsidR="0087320B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som formål 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å fremme virksomheters respekt for grunnleggende menneskerettigheter og </w:t>
      </w:r>
    </w:p>
    <w:p w14:paraId="1F0BE68E" w14:textId="772CEC00" w:rsidR="00137C9A" w:rsidRPr="00AA7D63" w:rsidRDefault="00137C9A" w:rsidP="007F1A73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anstendige arbeidsforhold, og sikre allmenheten tilgang til informasjon om hvordan </w:t>
      </w:r>
      <w:r w:rsidR="00F00B5B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vi som selskap </w:t>
      </w: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håndterer negative konsekvenser knyttet til dette. </w:t>
      </w:r>
    </w:p>
    <w:p w14:paraId="6E25F826" w14:textId="77777777" w:rsidR="007F1A73" w:rsidRPr="00AA7D63" w:rsidRDefault="007F1A73" w:rsidP="007F1A73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0188043" w14:textId="63057A19" w:rsidR="00137C9A" w:rsidRPr="00AA7D63" w:rsidRDefault="00137C9A" w:rsidP="00A4339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FNs </w:t>
      </w:r>
      <w:r w:rsidR="00F00B5B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bærekrafts mål</w:t>
      </w: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er retningsgivende for det samlede arbeidet med bærekraftig utvikling og samfunnsansvar. </w:t>
      </w:r>
      <w:r w:rsidR="00F00B5B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br/>
        <w:t xml:space="preserve">Telemark </w:t>
      </w: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Energi motsetter seg moderne slaveri og enhver form for brudd på </w:t>
      </w:r>
    </w:p>
    <w:p w14:paraId="440432D8" w14:textId="2397EE2A" w:rsidR="00137C9A" w:rsidRPr="00AA7D63" w:rsidRDefault="00137C9A" w:rsidP="00A4339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grunnleggende menneskerettigheter og anstendige arbeidsforhold, også knyttet til vår leverandørkjede. </w:t>
      </w:r>
    </w:p>
    <w:p w14:paraId="7AD1B63C" w14:textId="00D28C62" w:rsidR="007754D2" w:rsidRPr="00AA7D63" w:rsidRDefault="00A43390" w:rsidP="00690CB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Vi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jobber allerede med disse temaene gjennom vårt HMS-arbeid og våre innkjøps</w:t>
      </w:r>
      <w:r w:rsidR="002C193E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rutiner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. Retningslinjen er ikke uttømmende og det forventes at alle ansatte </w:t>
      </w:r>
      <w:r w:rsidR="00690CBF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jobber for å 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sikre etterlevelse av åpenhetsloven og etterlevelse av våre etiske retningslinjer og målsetting om </w:t>
      </w:r>
      <w:r w:rsidR="00BD51D4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et </w:t>
      </w:r>
      <w:r w:rsidR="00137C9A" w:rsidRPr="00AA7D63">
        <w:rPr>
          <w:rFonts w:ascii="Calibri" w:eastAsia="Times New Roman" w:hAnsi="Calibri" w:cs="Calibri"/>
          <w:kern w:val="0"/>
          <w:lang w:eastAsia="nb-NO"/>
          <w14:ligatures w14:val="none"/>
        </w:rPr>
        <w:t>ansvarlig næringsliv.</w:t>
      </w:r>
    </w:p>
    <w:p w14:paraId="358A5D67" w14:textId="77777777" w:rsidR="00137C9A" w:rsidRPr="00806A88" w:rsidRDefault="00137C9A" w:rsidP="00137C9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387CB6CC" w14:textId="31942A42" w:rsidR="00137C9A" w:rsidRPr="009808B2" w:rsidRDefault="009351DF" w:rsidP="003665A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9808B2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2. Redegjørelse for loven og rettslige</w:t>
      </w:r>
      <w:r w:rsidR="003665A3" w:rsidRPr="009808B2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 </w:t>
      </w:r>
      <w:r w:rsidRPr="009808B2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forpliktelser</w:t>
      </w:r>
    </w:p>
    <w:p w14:paraId="7A19B570" w14:textId="77777777" w:rsidR="00191650" w:rsidRDefault="00191650" w:rsidP="00E1595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F7C8A5B" w14:textId="4949E563" w:rsidR="001220C6" w:rsidRPr="00806A88" w:rsidRDefault="009808B2" w:rsidP="00806A8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Åpenhetsloven</w:t>
      </w:r>
      <w:r w:rsidR="009A58F0" w:rsidRPr="00806A88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bygger på internasjonale rammeverk og konsensus om krav til ansvarlig næringsliv samt norske tradisjoner for åpenhet og tilgang til informasjon. Forbrukertilsynet er forvaltningsorganet som har til oppgave å føre tilsyn med og håndheve åpenhetslove</w:t>
      </w:r>
      <w:r w:rsidR="001220C6" w:rsidRPr="00806A88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n. </w:t>
      </w:r>
    </w:p>
    <w:p w14:paraId="49BF6077" w14:textId="77777777" w:rsidR="00806A88" w:rsidRDefault="00806A88" w:rsidP="001220C6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06412461" w14:textId="79E123B5" w:rsidR="001220C6" w:rsidRPr="008F2209" w:rsidRDefault="001220C6" w:rsidP="002A357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2.2. Gjennomføring av aktsomhetsvurderinger </w:t>
      </w:r>
      <w:r w:rsidR="00445895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br/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Åpenhetsloven omfatter større virksomheter, som definert i § 3 bokstav a) og pålegger disse å gjennomføre aktsomhetsvurderinger av sin leverandørkjede og forretningspartnere i tråd med OECDs retningslinjer for flernasjonale selskaper. </w:t>
      </w:r>
    </w:p>
    <w:p w14:paraId="2AFC4D51" w14:textId="15DC30AB" w:rsidR="001220C6" w:rsidRPr="008F2209" w:rsidRDefault="001220C6" w:rsidP="002A357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Utgangspunktet for aktsomhetsvurderingene er en risikobasert tilnærming, som innebærer at man identifiserer risiko og starter der risikoen er størst. </w:t>
      </w:r>
    </w:p>
    <w:p w14:paraId="4F06CBF8" w14:textId="0C54C32A" w:rsidR="001220C6" w:rsidRPr="008F2209" w:rsidRDefault="001220C6" w:rsidP="0062188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Forholdsmessighetsprinsippet ligger til grunn for virksomhetens</w:t>
      </w:r>
      <w:r w:rsidR="002A357D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forpliktelser. Med andre ord skal undersøkelsene som skal foretas og informasjonen som gis stå i forhold til selskapenes virksomhet, </w:t>
      </w:r>
    </w:p>
    <w:p w14:paraId="6D7262F6" w14:textId="47DD369C" w:rsidR="001220C6" w:rsidRPr="008F2209" w:rsidRDefault="001220C6" w:rsidP="0062188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størrelse, risiko mv. Virksomheter som omfattes er i tillegg pliktige å publisere en årlig r</w:t>
      </w:r>
      <w:r w:rsidR="00621881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apport</w:t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. </w:t>
      </w:r>
    </w:p>
    <w:p w14:paraId="6E0F2880" w14:textId="1CF40645" w:rsidR="00161343" w:rsidRPr="008F2209" w:rsidRDefault="001220C6" w:rsidP="000245E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En aktsomhetsvurdering skal inkludere selskapets leverandørkjede (og deres underleverandører) og andre forretningspartnere som leverer varer eller tjenester direkte til </w:t>
      </w:r>
      <w:r w:rsidR="00AB1A2E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Telemark </w:t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Energi</w:t>
      </w:r>
      <w:r w:rsidR="00AB1A2E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AS</w:t>
      </w:r>
      <w:r w:rsidR="00C007B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med datterselskaper og Norsjøkraft AS</w:t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.</w:t>
      </w:r>
    </w:p>
    <w:p w14:paraId="03850A12" w14:textId="3A746161" w:rsidR="001220C6" w:rsidRPr="008F2209" w:rsidRDefault="001220C6" w:rsidP="00AA01B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Aktsomhetsvurderingen har følgende steg vist i figur 1</w:t>
      </w:r>
      <w:r w:rsidR="008F2209"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nedenfor</w:t>
      </w:r>
      <w:r w:rsidR="0043586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(O</w:t>
      </w:r>
      <w:r w:rsidR="007D4944">
        <w:rPr>
          <w:rFonts w:ascii="Calibri" w:eastAsia="Times New Roman" w:hAnsi="Calibri" w:cs="Calibri"/>
          <w:kern w:val="0"/>
          <w:lang w:eastAsia="nb-NO"/>
          <w14:ligatures w14:val="none"/>
        </w:rPr>
        <w:t>ECD guidelines)</w:t>
      </w:r>
      <w:r w:rsidRPr="008F2209">
        <w:rPr>
          <w:rFonts w:ascii="Calibri" w:eastAsia="Times New Roman" w:hAnsi="Calibri" w:cs="Calibri"/>
          <w:kern w:val="0"/>
          <w:lang w:eastAsia="nb-NO"/>
          <w14:ligatures w14:val="none"/>
        </w:rPr>
        <w:t>.</w:t>
      </w:r>
    </w:p>
    <w:p w14:paraId="023C587F" w14:textId="77777777" w:rsidR="00AA01BA" w:rsidRDefault="00AA01BA" w:rsidP="00AA01BA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1C254C7E" w14:textId="77777777" w:rsidR="00CE5395" w:rsidRDefault="00CE5395" w:rsidP="00AA01BA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175D72BD" w14:textId="582AA962" w:rsidR="00CE5395" w:rsidRDefault="00435860" w:rsidP="00AA01BA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noProof/>
          <w:color w:val="FF0000"/>
          <w:kern w:val="0"/>
          <w:lang w:eastAsia="nb-NO"/>
          <w14:ligatures w14:val="none"/>
        </w:rPr>
        <w:lastRenderedPageBreak/>
        <w:drawing>
          <wp:inline distT="0" distB="0" distL="0" distR="0" wp14:anchorId="04FD9400" wp14:editId="2F2922D9">
            <wp:extent cx="3676015" cy="2261870"/>
            <wp:effectExtent l="0" t="0" r="635" b="5080"/>
            <wp:docPr id="84834833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FFD3A" w14:textId="77777777" w:rsidR="001220C6" w:rsidRPr="00775C47" w:rsidRDefault="001220C6" w:rsidP="001220C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775C4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2.2.1. Eksempler på relevante risikoer </w:t>
      </w:r>
    </w:p>
    <w:p w14:paraId="5C063BC2" w14:textId="2735AE31" w:rsidR="001220C6" w:rsidRPr="00775C47" w:rsidRDefault="001220C6" w:rsidP="00FB44B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775C4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Eksempler på relevante risikoer som </w:t>
      </w:r>
      <w:r w:rsidR="00FB44B0" w:rsidRPr="00775C4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etter åpenhetsloven </w:t>
      </w:r>
      <w:r w:rsidRPr="00775C4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bør stanses, forebygges eller begrenses er: </w:t>
      </w:r>
    </w:p>
    <w:p w14:paraId="5727FBFF" w14:textId="405B0A82" w:rsidR="001220C6" w:rsidRPr="00775C47" w:rsidRDefault="001220C6" w:rsidP="00B8115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775C4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Barnearbeid, diskriminering, minoritetsrettigheter, seksuell trakassering og vold, tvangsarbeid, arbeidshelse og -sikkerhet (f.eks. arbeidstakerrelatert skade og dårlig helse), brudd på arbeidstakernes rett til å etablere eller bli med i en fagforening og til å forhandle kollektivt, manglende overholdelse av minstelønn og bruk av farlige kjemikalier. </w:t>
      </w:r>
    </w:p>
    <w:p w14:paraId="07448F00" w14:textId="3BDD3A2C" w:rsidR="00AF5103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6D679441" w14:textId="77777777" w:rsidR="00F740C3" w:rsidRDefault="00F740C3" w:rsidP="00D25F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56A3D1BF" w14:textId="77777777" w:rsidR="00AF5103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0B926267" w14:textId="77777777" w:rsidR="009C4BF8" w:rsidRDefault="009C4BF8">
      <w:pPr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br w:type="page"/>
      </w:r>
    </w:p>
    <w:p w14:paraId="38824EB9" w14:textId="20DE4F3C" w:rsidR="00CF3F50" w:rsidRPr="008372EF" w:rsidRDefault="00CF3F50" w:rsidP="00E6390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372EF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lastRenderedPageBreak/>
        <w:t>3. Aktsomhetsvurdering</w:t>
      </w:r>
    </w:p>
    <w:p w14:paraId="43FBD217" w14:textId="77777777" w:rsidR="00CF3F50" w:rsidRDefault="00CF3F50" w:rsidP="00D25F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2972"/>
        <w:gridCol w:w="10773"/>
      </w:tblGrid>
      <w:tr w:rsidR="00FB713A" w14:paraId="3895EA94" w14:textId="77777777" w:rsidTr="004F16DC">
        <w:tc>
          <w:tcPr>
            <w:tcW w:w="2972" w:type="dxa"/>
            <w:shd w:val="clear" w:color="auto" w:fill="D9D9D9" w:themeFill="background1" w:themeFillShade="D9"/>
          </w:tcPr>
          <w:p w14:paraId="7085DC02" w14:textId="77777777" w:rsidR="00FB713A" w:rsidRPr="00E11E48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11E48">
              <w:rPr>
                <w:rFonts w:ascii="Calibri" w:eastAsia="Times New Roman" w:hAnsi="Calibri" w:cs="Calibri"/>
                <w:b/>
                <w:bCs/>
                <w:lang w:eastAsia="nb-NO"/>
              </w:rPr>
              <w:t>Steg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5A5632C9" w14:textId="06DDB2AF" w:rsidR="00FB713A" w:rsidRPr="00E11E48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11E48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Aktivitet </w:t>
            </w:r>
          </w:p>
          <w:p w14:paraId="37E71ED0" w14:textId="77777777" w:rsidR="00FB713A" w:rsidRPr="00C968A9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</w:p>
        </w:tc>
      </w:tr>
      <w:tr w:rsidR="00FB713A" w14:paraId="1859739C" w14:textId="77777777" w:rsidTr="004F16DC">
        <w:tc>
          <w:tcPr>
            <w:tcW w:w="2972" w:type="dxa"/>
          </w:tcPr>
          <w:p w14:paraId="6A550183" w14:textId="77777777" w:rsidR="00FB713A" w:rsidRPr="00E11E48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11E48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1. Forankre ansvarlighet </w:t>
            </w:r>
          </w:p>
          <w:p w14:paraId="5A27DEF2" w14:textId="77777777" w:rsidR="00FB713A" w:rsidRPr="00E11E48" w:rsidRDefault="00FB713A" w:rsidP="00A428C1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73" w:type="dxa"/>
          </w:tcPr>
          <w:p w14:paraId="4D9946BD" w14:textId="433044D4" w:rsidR="00A704A7" w:rsidRPr="004D7683" w:rsidRDefault="00A704A7" w:rsidP="00D106CF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D7683">
              <w:rPr>
                <w:rFonts w:ascii="Calibri" w:eastAsia="Times New Roman" w:hAnsi="Calibri" w:cs="Calibri"/>
                <w:lang w:eastAsia="nb-NO"/>
              </w:rPr>
              <w:t xml:space="preserve">Selskapets styre fastsetter den overordnede forankringen og har det overordnede ansvaret for å sikre at selskapet har på plass tilstrekkelige retningslinjer og tiltak. Selskapets administrerende direktør er ansvarlig for den daglige gjennomføringen av slike tiltak. Etterlevelse av åpenhetsloven er dermed et styre- og ledelsesansvar i </w:t>
            </w:r>
            <w:r w:rsidR="004D7683" w:rsidRPr="004D7683">
              <w:rPr>
                <w:rFonts w:ascii="Calibri" w:eastAsia="Times New Roman" w:hAnsi="Calibri" w:cs="Calibri"/>
                <w:lang w:eastAsia="nb-NO"/>
              </w:rPr>
              <w:t>Telemark</w:t>
            </w:r>
            <w:r w:rsidRPr="004D7683">
              <w:rPr>
                <w:rFonts w:ascii="Calibri" w:eastAsia="Times New Roman" w:hAnsi="Calibri" w:cs="Calibri"/>
                <w:lang w:eastAsia="nb-NO"/>
              </w:rPr>
              <w:t xml:space="preserve"> Energi</w:t>
            </w:r>
            <w:r w:rsidR="006C0D29">
              <w:rPr>
                <w:rFonts w:ascii="Calibri" w:eastAsia="Times New Roman" w:hAnsi="Calibri" w:cs="Calibri"/>
                <w:lang w:eastAsia="nb-NO"/>
              </w:rPr>
              <w:t xml:space="preserve"> med datters</w:t>
            </w:r>
            <w:r w:rsidR="0054263C">
              <w:rPr>
                <w:rFonts w:ascii="Calibri" w:eastAsia="Times New Roman" w:hAnsi="Calibri" w:cs="Calibri"/>
                <w:lang w:eastAsia="nb-NO"/>
              </w:rPr>
              <w:t>elskaper og Norsjøkraft AS</w:t>
            </w:r>
            <w:r w:rsidRPr="004D7683">
              <w:rPr>
                <w:rFonts w:ascii="Calibri" w:eastAsia="Times New Roman" w:hAnsi="Calibri" w:cs="Calibri"/>
                <w:lang w:eastAsia="nb-NO"/>
              </w:rPr>
              <w:t xml:space="preserve">. For å sikre etterlevelse vil </w:t>
            </w:r>
            <w:r w:rsidR="0054263C">
              <w:rPr>
                <w:rFonts w:ascii="Calibri" w:eastAsia="Times New Roman" w:hAnsi="Calibri" w:cs="Calibri"/>
                <w:lang w:eastAsia="nb-NO"/>
              </w:rPr>
              <w:t>vi</w:t>
            </w:r>
            <w:r w:rsidRPr="004D7683">
              <w:rPr>
                <w:rFonts w:ascii="Calibri" w:eastAsia="Times New Roman" w:hAnsi="Calibri" w:cs="Calibri"/>
                <w:lang w:eastAsia="nb-NO"/>
              </w:rPr>
              <w:t xml:space="preserve"> foreta en gjennomgang av relevante interne og eksterne dokumenter og systemer etter rutinene i virksomhetsstyring. </w:t>
            </w:r>
          </w:p>
          <w:p w14:paraId="63A3A763" w14:textId="0F0E41E7" w:rsidR="00FB713A" w:rsidRPr="00626AF3" w:rsidRDefault="00495095" w:rsidP="00D34E6E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Gjennomgang av </w:t>
            </w:r>
            <w:r w:rsidR="00D34E6E">
              <w:rPr>
                <w:rFonts w:ascii="Calibri" w:eastAsia="Times New Roman" w:hAnsi="Calibri" w:cs="Calibri"/>
                <w:lang w:eastAsia="nb-NO"/>
              </w:rPr>
              <w:t>r</w:t>
            </w:r>
            <w:r w:rsidR="00A704A7" w:rsidRPr="004D7683">
              <w:rPr>
                <w:rFonts w:ascii="Calibri" w:eastAsia="Times New Roman" w:hAnsi="Calibri" w:cs="Calibri"/>
                <w:lang w:eastAsia="nb-NO"/>
              </w:rPr>
              <w:t xml:space="preserve">elevante interne og eksterne dokumenter og systemer etter rutinene i virksomhetsstyring. Dokumenter som er helt eller delvis oppdatert: Leverandørerklæring, </w:t>
            </w:r>
            <w:r w:rsidR="00A704A7" w:rsidRPr="00A704A7">
              <w:rPr>
                <w:rFonts w:ascii="Calibri" w:eastAsia="Times New Roman" w:hAnsi="Calibri" w:cs="Calibri"/>
                <w:lang w:eastAsia="nb-NO"/>
              </w:rPr>
              <w:t>etiske retningslinjer, innkjøpspolicy, risikostyring mm.</w:t>
            </w:r>
          </w:p>
        </w:tc>
      </w:tr>
      <w:tr w:rsidR="00FB713A" w14:paraId="2695CF10" w14:textId="77777777" w:rsidTr="004F16DC">
        <w:tc>
          <w:tcPr>
            <w:tcW w:w="2972" w:type="dxa"/>
          </w:tcPr>
          <w:p w14:paraId="3AB4D7B4" w14:textId="77777777" w:rsidR="00FB713A" w:rsidRPr="00E11E48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E11E48">
              <w:rPr>
                <w:rFonts w:ascii="Calibri" w:eastAsia="Times New Roman" w:hAnsi="Calibri" w:cs="Calibri"/>
                <w:b/>
                <w:bCs/>
                <w:lang w:eastAsia="nb-NO"/>
              </w:rPr>
              <w:t>2. Kartlegg og vurder negativ påvirkning</w:t>
            </w:r>
          </w:p>
        </w:tc>
        <w:tc>
          <w:tcPr>
            <w:tcW w:w="10773" w:type="dxa"/>
          </w:tcPr>
          <w:p w14:paraId="3CEB5774" w14:textId="77777777" w:rsidR="0050509B" w:rsidRDefault="0050509B" w:rsidP="00A428C1">
            <w:pPr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  <w:p w14:paraId="04275043" w14:textId="77777777" w:rsidR="00633480" w:rsidRPr="00193EB5" w:rsidRDefault="00633480" w:rsidP="0063348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93EB5">
              <w:rPr>
                <w:rFonts w:ascii="Calibri" w:eastAsia="Times New Roman" w:hAnsi="Calibri" w:cs="Calibri"/>
                <w:lang w:eastAsia="nb-NO"/>
              </w:rPr>
              <w:t xml:space="preserve">Vår kartlegging av leverandørkjeden består av følgende steg: </w:t>
            </w:r>
          </w:p>
          <w:p w14:paraId="733ED89A" w14:textId="673F486D" w:rsidR="00633480" w:rsidRPr="00193EB5" w:rsidRDefault="00633480" w:rsidP="0063348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93EB5">
              <w:rPr>
                <w:rFonts w:ascii="Calibri" w:eastAsia="Times New Roman" w:hAnsi="Calibri" w:cs="Calibri"/>
                <w:b/>
                <w:bCs/>
                <w:lang w:eastAsia="nb-NO"/>
              </w:rPr>
              <w:t>Steg 1</w:t>
            </w:r>
            <w:r w:rsidRPr="00193EB5">
              <w:rPr>
                <w:rFonts w:ascii="Calibri" w:eastAsia="Times New Roman" w:hAnsi="Calibri" w:cs="Calibri"/>
                <w:lang w:eastAsia="nb-NO"/>
              </w:rPr>
              <w:t xml:space="preserve">: Gjøre et uttrekk av våre leverandører basert på </w:t>
            </w:r>
            <w:r w:rsidR="001E679F">
              <w:rPr>
                <w:rFonts w:ascii="Calibri" w:eastAsia="Times New Roman" w:hAnsi="Calibri" w:cs="Calibri"/>
                <w:lang w:eastAsia="nb-NO"/>
              </w:rPr>
              <w:t xml:space="preserve">bransje, </w:t>
            </w:r>
            <w:r w:rsidRPr="00193EB5">
              <w:rPr>
                <w:rFonts w:ascii="Calibri" w:eastAsia="Times New Roman" w:hAnsi="Calibri" w:cs="Calibri"/>
                <w:lang w:eastAsia="nb-NO"/>
              </w:rPr>
              <w:t>størrelse,</w:t>
            </w:r>
            <w:r w:rsidR="00193EB5" w:rsidRPr="00193E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193EB5">
              <w:rPr>
                <w:rFonts w:ascii="Calibri" w:eastAsia="Times New Roman" w:hAnsi="Calibri" w:cs="Calibri"/>
                <w:lang w:eastAsia="nb-NO"/>
              </w:rPr>
              <w:t xml:space="preserve">geografi og varetype. </w:t>
            </w:r>
          </w:p>
          <w:p w14:paraId="5BA20360" w14:textId="1D8A1941" w:rsidR="00633480" w:rsidRPr="00105A45" w:rsidRDefault="00633480" w:rsidP="00105A45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05A45">
              <w:rPr>
                <w:rFonts w:ascii="Calibri" w:eastAsia="Times New Roman" w:hAnsi="Calibri" w:cs="Calibri"/>
                <w:b/>
                <w:bCs/>
                <w:lang w:eastAsia="nb-NO"/>
              </w:rPr>
              <w:t>Steg 2</w:t>
            </w:r>
            <w:r w:rsidRPr="00105A45">
              <w:rPr>
                <w:rFonts w:ascii="Calibri" w:eastAsia="Times New Roman" w:hAnsi="Calibri" w:cs="Calibri"/>
                <w:lang w:eastAsia="nb-NO"/>
              </w:rPr>
              <w:t>: Opprette dialog med</w:t>
            </w:r>
            <w:r w:rsidR="00A81903" w:rsidRPr="00105A45">
              <w:rPr>
                <w:rFonts w:ascii="Calibri" w:eastAsia="Times New Roman" w:hAnsi="Calibri" w:cs="Calibri"/>
                <w:lang w:eastAsia="nb-NO"/>
              </w:rPr>
              <w:t xml:space="preserve"> p</w:t>
            </w:r>
            <w:r w:rsidRPr="00105A45">
              <w:rPr>
                <w:rFonts w:ascii="Calibri" w:eastAsia="Times New Roman" w:hAnsi="Calibri" w:cs="Calibri"/>
                <w:lang w:eastAsia="nb-NO"/>
              </w:rPr>
              <w:t>rosjektleder</w:t>
            </w:r>
            <w:r w:rsidR="00105A45" w:rsidRPr="00105A45">
              <w:rPr>
                <w:rFonts w:ascii="Calibri" w:eastAsia="Times New Roman" w:hAnsi="Calibri" w:cs="Calibri"/>
                <w:lang w:eastAsia="nb-NO"/>
              </w:rPr>
              <w:t xml:space="preserve"> evt. </w:t>
            </w:r>
            <w:r w:rsidR="00C577D4" w:rsidRPr="00105A45">
              <w:rPr>
                <w:rFonts w:ascii="Calibri" w:eastAsia="Times New Roman" w:hAnsi="Calibri" w:cs="Calibri"/>
                <w:lang w:eastAsia="nb-NO"/>
              </w:rPr>
              <w:t>innkjøpssamarbeidspartner</w:t>
            </w:r>
            <w:r w:rsidRPr="00105A45">
              <w:rPr>
                <w:rFonts w:ascii="Calibri" w:eastAsia="Times New Roman" w:hAnsi="Calibri" w:cs="Calibri"/>
                <w:lang w:eastAsia="nb-NO"/>
              </w:rPr>
              <w:t xml:space="preserve"> som jobber tett med leverandørene for å avdekke mistanke om risiko. Aktsomhetsvurderingen og kartleggingen oppdateres ved endringer, slik at nye leverandører </w:t>
            </w:r>
            <w:r w:rsidR="00105A45" w:rsidRPr="00105A45">
              <w:rPr>
                <w:rFonts w:ascii="Calibri" w:eastAsia="Times New Roman" w:hAnsi="Calibri" w:cs="Calibri"/>
                <w:lang w:eastAsia="nb-NO"/>
              </w:rPr>
              <w:t>tas med i vurderingen.</w:t>
            </w:r>
            <w:r w:rsidRPr="00105A45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5E8EC7DA" w14:textId="01F689A2" w:rsidR="00FB713A" w:rsidRPr="00094F22" w:rsidRDefault="00633480" w:rsidP="00094F22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B3511B">
              <w:rPr>
                <w:rFonts w:ascii="Calibri" w:eastAsia="Times New Roman" w:hAnsi="Calibri" w:cs="Calibri"/>
                <w:b/>
                <w:bCs/>
                <w:lang w:eastAsia="nb-NO"/>
              </w:rPr>
              <w:t>Steg 3:</w:t>
            </w:r>
            <w:r w:rsidRPr="00B3511B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123EF9" w:rsidRPr="00C73C1A">
              <w:rPr>
                <w:rFonts w:ascii="Calibri" w:eastAsia="Times New Roman" w:hAnsi="Calibri" w:cs="Calibri"/>
                <w:lang w:eastAsia="nb-NO"/>
              </w:rPr>
              <w:t>V</w:t>
            </w:r>
            <w:r w:rsidRPr="00C73C1A">
              <w:rPr>
                <w:rFonts w:ascii="Calibri" w:eastAsia="Times New Roman" w:hAnsi="Calibri" w:cs="Calibri"/>
                <w:lang w:eastAsia="nb-NO"/>
              </w:rPr>
              <w:t>i vil</w:t>
            </w:r>
            <w:r w:rsidR="002278A2" w:rsidRPr="00C73C1A">
              <w:rPr>
                <w:rFonts w:ascii="Calibri" w:eastAsia="Times New Roman" w:hAnsi="Calibri" w:cs="Calibri"/>
                <w:lang w:eastAsia="nb-NO"/>
              </w:rPr>
              <w:t xml:space="preserve"> sammen</w:t>
            </w:r>
            <w:r w:rsidRPr="00C73C1A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2278A2" w:rsidRPr="00C73C1A">
              <w:rPr>
                <w:rFonts w:ascii="Calibri" w:eastAsia="Times New Roman" w:hAnsi="Calibri" w:cs="Calibri"/>
                <w:lang w:eastAsia="nb-NO"/>
              </w:rPr>
              <w:t xml:space="preserve">med vår innkjøpspartner </w:t>
            </w:r>
            <w:r w:rsidR="00123EF9" w:rsidRPr="00C73C1A">
              <w:rPr>
                <w:rFonts w:ascii="Calibri" w:eastAsia="Times New Roman" w:hAnsi="Calibri" w:cs="Calibri"/>
                <w:lang w:eastAsia="nb-NO"/>
              </w:rPr>
              <w:t xml:space="preserve">løpende vurdere </w:t>
            </w:r>
            <w:r w:rsidR="004D3AD4" w:rsidRPr="00C73C1A">
              <w:rPr>
                <w:rFonts w:ascii="Calibri" w:eastAsia="Times New Roman" w:hAnsi="Calibri" w:cs="Calibri"/>
                <w:lang w:eastAsia="nb-NO"/>
              </w:rPr>
              <w:t xml:space="preserve">behovet for å sende ut </w:t>
            </w:r>
            <w:r w:rsidRPr="00C73C1A">
              <w:rPr>
                <w:rFonts w:ascii="Calibri" w:eastAsia="Times New Roman" w:hAnsi="Calibri" w:cs="Calibri"/>
                <w:lang w:eastAsia="nb-NO"/>
              </w:rPr>
              <w:t>spisset spørreskjema som omfatter spørsmål rundt arbeids- og menneskerettigheter</w:t>
            </w:r>
            <w:r w:rsidR="009315CC" w:rsidRPr="00C73C1A">
              <w:rPr>
                <w:rFonts w:ascii="Calibri" w:eastAsia="Times New Roman" w:hAnsi="Calibri" w:cs="Calibri"/>
                <w:lang w:eastAsia="nb-NO"/>
              </w:rPr>
              <w:t xml:space="preserve">, og </w:t>
            </w:r>
            <w:r w:rsidR="00210DF1" w:rsidRPr="00C73C1A">
              <w:rPr>
                <w:rFonts w:ascii="Calibri" w:eastAsia="Times New Roman" w:hAnsi="Calibri" w:cs="Calibri"/>
                <w:lang w:eastAsia="nb-NO"/>
              </w:rPr>
              <w:t xml:space="preserve">følge opp med </w:t>
            </w:r>
            <w:r w:rsidR="0019475C" w:rsidRPr="00C73C1A">
              <w:rPr>
                <w:rFonts w:ascii="Calibri" w:eastAsia="Times New Roman" w:hAnsi="Calibri" w:cs="Calibri"/>
                <w:lang w:eastAsia="nb-NO"/>
              </w:rPr>
              <w:t>nødvendige utbedrings</w:t>
            </w:r>
            <w:r w:rsidRPr="00C73C1A">
              <w:rPr>
                <w:rFonts w:ascii="Calibri" w:eastAsia="Times New Roman" w:hAnsi="Calibri" w:cs="Calibri"/>
                <w:lang w:eastAsia="nb-NO"/>
              </w:rPr>
              <w:t>t</w:t>
            </w:r>
            <w:r w:rsidR="00C73C1A" w:rsidRPr="00C73C1A">
              <w:rPr>
                <w:rFonts w:ascii="Calibri" w:eastAsia="Times New Roman" w:hAnsi="Calibri" w:cs="Calibri"/>
                <w:lang w:eastAsia="nb-NO"/>
              </w:rPr>
              <w:t xml:space="preserve">iltak og </w:t>
            </w:r>
            <w:r w:rsidRPr="00C73C1A">
              <w:rPr>
                <w:rFonts w:ascii="Calibri" w:eastAsia="Times New Roman" w:hAnsi="Calibri" w:cs="Calibri"/>
                <w:lang w:eastAsia="nb-NO"/>
              </w:rPr>
              <w:t>dialog med leverandører</w:t>
            </w:r>
            <w:r w:rsidR="00C73C1A" w:rsidRPr="00C73C1A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FB713A" w14:paraId="2A1AE731" w14:textId="77777777" w:rsidTr="004F16DC">
        <w:tc>
          <w:tcPr>
            <w:tcW w:w="2972" w:type="dxa"/>
          </w:tcPr>
          <w:p w14:paraId="5C355C9F" w14:textId="77777777" w:rsidR="00FB713A" w:rsidRPr="00883A78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883A78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3. Stans, forebygg eller reduser </w:t>
            </w:r>
          </w:p>
          <w:p w14:paraId="062F285E" w14:textId="77777777" w:rsidR="00FB713A" w:rsidRPr="00883A78" w:rsidRDefault="00FB713A" w:rsidP="00A428C1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73" w:type="dxa"/>
          </w:tcPr>
          <w:p w14:paraId="345A0C49" w14:textId="77777777" w:rsidR="001C3040" w:rsidRPr="001C3040" w:rsidRDefault="001C3040" w:rsidP="001C304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C3040">
              <w:rPr>
                <w:rFonts w:ascii="Calibri" w:eastAsia="Times New Roman" w:hAnsi="Calibri" w:cs="Calibri"/>
                <w:lang w:eastAsia="nb-NO"/>
              </w:rPr>
              <w:t xml:space="preserve">Tiltakene som iverksettes vil ta utgangspunkt i funnene i kartleggingen som er gjennomført i punktet over. </w:t>
            </w:r>
          </w:p>
          <w:p w14:paraId="7D960E14" w14:textId="77777777" w:rsidR="001C3040" w:rsidRPr="001C3040" w:rsidRDefault="001C3040" w:rsidP="001C304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C3040">
              <w:rPr>
                <w:rFonts w:ascii="Calibri" w:eastAsia="Times New Roman" w:hAnsi="Calibri" w:cs="Calibri"/>
                <w:lang w:eastAsia="nb-NO"/>
              </w:rPr>
              <w:t>• Ved anbudsprosesser skal alle leverandører signere en leverandørerklæring for å sikre etterlevelse av grunnleggende krav til miljø, etiske og sosiale retningslinjer. Vi skal</w:t>
            </w:r>
          </w:p>
          <w:p w14:paraId="00A71300" w14:textId="394DAA48" w:rsidR="001C3040" w:rsidRPr="001C3040" w:rsidRDefault="001C3040" w:rsidP="001C304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C3040">
              <w:rPr>
                <w:rFonts w:ascii="Calibri" w:eastAsia="Times New Roman" w:hAnsi="Calibri" w:cs="Calibri"/>
                <w:lang w:eastAsia="nb-NO"/>
              </w:rPr>
              <w:t xml:space="preserve">ha standardkontrakter med standardiserte </w:t>
            </w:r>
            <w:r w:rsidR="00F35F73" w:rsidRPr="001C3040">
              <w:rPr>
                <w:rFonts w:ascii="Calibri" w:eastAsia="Times New Roman" w:hAnsi="Calibri" w:cs="Calibri"/>
                <w:lang w:eastAsia="nb-NO"/>
              </w:rPr>
              <w:t xml:space="preserve">kontrakts </w:t>
            </w:r>
            <w:r w:rsidR="004F0E7D" w:rsidRPr="001C3040">
              <w:rPr>
                <w:rFonts w:ascii="Calibri" w:eastAsia="Times New Roman" w:hAnsi="Calibri" w:cs="Calibri"/>
                <w:lang w:eastAsia="nb-NO"/>
              </w:rPr>
              <w:t>klausuler. (</w:t>
            </w:r>
            <w:r w:rsidRPr="001C3040">
              <w:rPr>
                <w:rFonts w:ascii="Calibri" w:eastAsia="Times New Roman" w:hAnsi="Calibri" w:cs="Calibri"/>
                <w:lang w:eastAsia="nb-NO"/>
              </w:rPr>
              <w:t>Eks NS, REN)</w:t>
            </w:r>
          </w:p>
          <w:p w14:paraId="249092AF" w14:textId="77777777" w:rsidR="001C3040" w:rsidRPr="001C3040" w:rsidRDefault="001C3040" w:rsidP="001C3040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C3040">
              <w:rPr>
                <w:rFonts w:ascii="Calibri" w:eastAsia="Times New Roman" w:hAnsi="Calibri" w:cs="Calibri"/>
                <w:lang w:eastAsia="nb-NO"/>
              </w:rPr>
              <w:t xml:space="preserve">Aktuelle sjekkpunkter kan være: </w:t>
            </w:r>
          </w:p>
          <w:p w14:paraId="0B70C992" w14:textId="24CE414F" w:rsidR="00F35F73" w:rsidRPr="00152246" w:rsidRDefault="001C3040" w:rsidP="00152246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52246">
              <w:rPr>
                <w:rFonts w:ascii="Calibri" w:eastAsia="Times New Roman" w:hAnsi="Calibri" w:cs="Calibri"/>
                <w:lang w:eastAsia="nb-NO"/>
              </w:rPr>
              <w:t>Nøkkelpersoner skal forstå og kunne gjøre seg forstått på norsk eller engelsk</w:t>
            </w:r>
          </w:p>
          <w:p w14:paraId="23D4EF8A" w14:textId="26F80658" w:rsidR="001C3040" w:rsidRPr="00152246" w:rsidRDefault="001C3040" w:rsidP="00152246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52246">
              <w:rPr>
                <w:rFonts w:ascii="Calibri" w:eastAsia="Times New Roman" w:hAnsi="Calibri" w:cs="Calibri"/>
                <w:lang w:eastAsia="nb-NO"/>
              </w:rPr>
              <w:t>Krav om HMS-kort ved prosjekter som faller inn under byggherreforskriften</w:t>
            </w:r>
          </w:p>
          <w:p w14:paraId="3AF63715" w14:textId="290A984F" w:rsidR="001C3040" w:rsidRPr="00152246" w:rsidRDefault="001C3040" w:rsidP="00152246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52246">
              <w:rPr>
                <w:rFonts w:ascii="Calibri" w:eastAsia="Times New Roman" w:hAnsi="Calibri" w:cs="Calibri"/>
                <w:lang w:eastAsia="nb-NO"/>
              </w:rPr>
              <w:t>Gyldig ansvarsforsikring</w:t>
            </w:r>
          </w:p>
          <w:p w14:paraId="12ABF214" w14:textId="40D395A6" w:rsidR="001C3040" w:rsidRPr="00152246" w:rsidRDefault="001C3040" w:rsidP="00152246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52246">
              <w:rPr>
                <w:rFonts w:ascii="Calibri" w:eastAsia="Times New Roman" w:hAnsi="Calibri" w:cs="Calibri"/>
                <w:lang w:eastAsia="nb-NO"/>
              </w:rPr>
              <w:t>Arbeidskontrakt og arbeidsvilkår</w:t>
            </w:r>
          </w:p>
          <w:p w14:paraId="6972ADBF" w14:textId="46FE9EF8" w:rsidR="001C3040" w:rsidRPr="00EF1468" w:rsidRDefault="001C3040" w:rsidP="00EF1468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F1468">
              <w:rPr>
                <w:rFonts w:ascii="Calibri" w:eastAsia="Times New Roman" w:hAnsi="Calibri" w:cs="Calibri"/>
                <w:lang w:eastAsia="nb-NO"/>
              </w:rPr>
              <w:t>Lønns- og arbeidsforhold i tråd med tariffavtale (byggherrens påseplikt)</w:t>
            </w:r>
          </w:p>
          <w:p w14:paraId="6F807956" w14:textId="7C13782B" w:rsidR="001C3040" w:rsidRPr="00EF1468" w:rsidRDefault="001C3040" w:rsidP="00EF1468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F1468">
              <w:rPr>
                <w:rFonts w:ascii="Calibri" w:eastAsia="Times New Roman" w:hAnsi="Calibri" w:cs="Calibri"/>
                <w:lang w:eastAsia="nb-NO"/>
              </w:rPr>
              <w:t>Rett til uanmeldt besøk (revisjon/inspeksjon)</w:t>
            </w:r>
          </w:p>
          <w:p w14:paraId="4A7D47D0" w14:textId="77777777" w:rsidR="00CA3847" w:rsidRDefault="001C3040" w:rsidP="00CA3847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A3847">
              <w:rPr>
                <w:rFonts w:ascii="Calibri" w:eastAsia="Times New Roman" w:hAnsi="Calibri" w:cs="Calibri"/>
                <w:lang w:eastAsia="nb-NO"/>
              </w:rPr>
              <w:lastRenderedPageBreak/>
              <w:t>Termineringsadgang ved brudd på leverandørerklæring/etiske retningslinjer</w:t>
            </w:r>
          </w:p>
          <w:p w14:paraId="03D7D726" w14:textId="77777777" w:rsidR="005F1C75" w:rsidRDefault="001C3040" w:rsidP="0059780F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5F1C75">
              <w:rPr>
                <w:rFonts w:ascii="Calibri" w:eastAsia="Times New Roman" w:hAnsi="Calibri" w:cs="Calibri"/>
                <w:lang w:eastAsia="nb-NO"/>
              </w:rPr>
              <w:t xml:space="preserve"> Etiske retningslinjer for leverandører med plikt for leverandør til å overholde selskapets regler på ansvarlig næringsliv</w:t>
            </w:r>
          </w:p>
          <w:p w14:paraId="70E135DC" w14:textId="77777777" w:rsidR="005F1C75" w:rsidRDefault="001C3040" w:rsidP="005F1C75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5F1C75">
              <w:rPr>
                <w:rFonts w:ascii="Calibri" w:eastAsia="Times New Roman" w:hAnsi="Calibri" w:cs="Calibri"/>
                <w:lang w:eastAsia="nb-NO"/>
              </w:rPr>
              <w:t>Dialog med leverandører gjennom leverandørmøter og regelmessige revisjoner/inspeksjoner</w:t>
            </w:r>
          </w:p>
          <w:p w14:paraId="1CC0C38E" w14:textId="0F189327" w:rsidR="00FB713A" w:rsidRPr="002A195C" w:rsidRDefault="001C3040" w:rsidP="005F1C75">
            <w:pPr>
              <w:pStyle w:val="Listeavsnitt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C3040">
              <w:rPr>
                <w:rFonts w:ascii="Calibri" w:eastAsia="Times New Roman" w:hAnsi="Calibri" w:cs="Calibri"/>
                <w:lang w:eastAsia="nb-NO"/>
              </w:rPr>
              <w:t xml:space="preserve">For deleide selskaper vil </w:t>
            </w:r>
            <w:r w:rsidR="002A195C">
              <w:rPr>
                <w:rFonts w:ascii="Calibri" w:eastAsia="Times New Roman" w:hAnsi="Calibri" w:cs="Calibri"/>
                <w:lang w:eastAsia="nb-NO"/>
              </w:rPr>
              <w:t xml:space="preserve">Telemark </w:t>
            </w:r>
            <w:r w:rsidRPr="001C3040">
              <w:rPr>
                <w:rFonts w:ascii="Calibri" w:eastAsia="Times New Roman" w:hAnsi="Calibri" w:cs="Calibri"/>
                <w:lang w:eastAsia="nb-NO"/>
              </w:rPr>
              <w:t xml:space="preserve">Energi gjennom eierskapsforvaltning og styreinstruks være bevisste </w:t>
            </w:r>
            <w:r w:rsidR="005F1C75">
              <w:rPr>
                <w:rFonts w:ascii="Calibri" w:eastAsia="Times New Roman" w:hAnsi="Calibri" w:cs="Calibri"/>
                <w:lang w:eastAsia="nb-NO"/>
              </w:rPr>
              <w:t xml:space="preserve">i forhold til </w:t>
            </w:r>
            <w:r w:rsidRPr="001C3040">
              <w:rPr>
                <w:rFonts w:ascii="Calibri" w:eastAsia="Times New Roman" w:hAnsi="Calibri" w:cs="Calibri"/>
                <w:lang w:eastAsia="nb-NO"/>
              </w:rPr>
              <w:t>ansvar knyttet til åpenhetsloven.</w:t>
            </w:r>
          </w:p>
        </w:tc>
      </w:tr>
      <w:tr w:rsidR="00FB713A" w14:paraId="5C3AD508" w14:textId="77777777" w:rsidTr="004F16DC">
        <w:tc>
          <w:tcPr>
            <w:tcW w:w="2972" w:type="dxa"/>
          </w:tcPr>
          <w:p w14:paraId="65241D03" w14:textId="77777777" w:rsidR="00FB713A" w:rsidRPr="001D2DD0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2DD0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 xml:space="preserve">4. Overvåk gjennomføring og resultater </w:t>
            </w:r>
          </w:p>
          <w:p w14:paraId="3579F09B" w14:textId="77777777" w:rsidR="00FB713A" w:rsidRPr="00C968A9" w:rsidRDefault="00FB713A" w:rsidP="00A428C1">
            <w:pPr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0773" w:type="dxa"/>
          </w:tcPr>
          <w:p w14:paraId="14C6473E" w14:textId="74789DA8" w:rsidR="004D1103" w:rsidRPr="00D27658" w:rsidRDefault="004D1103" w:rsidP="00D27658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27658">
              <w:rPr>
                <w:rFonts w:ascii="Calibri" w:eastAsia="Times New Roman" w:hAnsi="Calibri" w:cs="Calibri"/>
                <w:lang w:eastAsia="nb-NO"/>
              </w:rPr>
              <w:t xml:space="preserve">For </w:t>
            </w:r>
            <w:r w:rsidR="00D71252" w:rsidRPr="00D27658">
              <w:rPr>
                <w:rFonts w:ascii="Calibri" w:eastAsia="Times New Roman" w:hAnsi="Calibri" w:cs="Calibri"/>
                <w:lang w:eastAsia="nb-NO"/>
              </w:rPr>
              <w:t>l</w:t>
            </w:r>
            <w:r w:rsidRPr="00D27658">
              <w:rPr>
                <w:rFonts w:ascii="Calibri" w:eastAsia="Times New Roman" w:hAnsi="Calibri" w:cs="Calibri"/>
                <w:lang w:eastAsia="nb-NO"/>
              </w:rPr>
              <w:t xml:space="preserve">everandører som medfører risiko for brudd på menneskerettighetene, skal selskapet følge nøye med på identifisert risiko og spore utfallet av de iverksatte tiltakene samt vurdere behovet for å iverksette ytterligere tiltak. </w:t>
            </w:r>
          </w:p>
          <w:p w14:paraId="09434E5B" w14:textId="77777777" w:rsidR="00D27658" w:rsidRPr="00D27658" w:rsidRDefault="00D27658" w:rsidP="004D1103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15A7D6DD" w14:textId="4F318AA5" w:rsidR="004D1103" w:rsidRPr="0012491D" w:rsidRDefault="00D27658" w:rsidP="004D1103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12491D">
              <w:rPr>
                <w:rFonts w:ascii="Calibri" w:eastAsia="Times New Roman" w:hAnsi="Calibri" w:cs="Calibri"/>
                <w:lang w:eastAsia="nb-NO"/>
              </w:rPr>
              <w:t xml:space="preserve">Telemark </w:t>
            </w:r>
            <w:r w:rsidR="004D1103" w:rsidRPr="0012491D">
              <w:rPr>
                <w:rFonts w:ascii="Calibri" w:eastAsia="Times New Roman" w:hAnsi="Calibri" w:cs="Calibri"/>
                <w:lang w:eastAsia="nb-NO"/>
              </w:rPr>
              <w:t xml:space="preserve">Energi </w:t>
            </w:r>
            <w:r w:rsidR="00534DF0">
              <w:rPr>
                <w:rFonts w:ascii="Calibri" w:eastAsia="Times New Roman" w:hAnsi="Calibri" w:cs="Calibri"/>
                <w:lang w:eastAsia="nb-NO"/>
              </w:rPr>
              <w:t xml:space="preserve">med datterselskaper og tilknyttede selskaper </w:t>
            </w:r>
            <w:r w:rsidR="004D1103" w:rsidRPr="0012491D">
              <w:rPr>
                <w:rFonts w:ascii="Calibri" w:eastAsia="Times New Roman" w:hAnsi="Calibri" w:cs="Calibri"/>
                <w:lang w:eastAsia="nb-NO"/>
              </w:rPr>
              <w:t xml:space="preserve">skal sørge for at risikorelevant informasjon knyttet til høyrisikoleverandører deles med relevante ansatte i selskapet. </w:t>
            </w:r>
          </w:p>
          <w:p w14:paraId="4477EAF5" w14:textId="77777777" w:rsidR="0012491D" w:rsidRPr="004D739B" w:rsidRDefault="0012491D" w:rsidP="004D1103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6171843" w14:textId="377066D4" w:rsidR="0012491D" w:rsidRPr="004D739B" w:rsidRDefault="004D1103" w:rsidP="00A46C35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D739B">
              <w:rPr>
                <w:rFonts w:ascii="Calibri" w:eastAsia="Times New Roman" w:hAnsi="Calibri" w:cs="Calibri"/>
                <w:lang w:eastAsia="nb-NO"/>
              </w:rPr>
              <w:t xml:space="preserve">Ved mistanke om brudd på menneskerettighetene skal </w:t>
            </w:r>
            <w:r w:rsidR="0012491D" w:rsidRPr="004D739B">
              <w:rPr>
                <w:rFonts w:ascii="Calibri" w:eastAsia="Times New Roman" w:hAnsi="Calibri" w:cs="Calibri"/>
                <w:lang w:eastAsia="nb-NO"/>
              </w:rPr>
              <w:t>Telemark</w:t>
            </w:r>
            <w:r w:rsidRPr="004D739B">
              <w:rPr>
                <w:rFonts w:ascii="Calibri" w:eastAsia="Times New Roman" w:hAnsi="Calibri" w:cs="Calibri"/>
                <w:lang w:eastAsia="nb-NO"/>
              </w:rPr>
              <w:t xml:space="preserve"> Energi </w:t>
            </w:r>
            <w:r w:rsidR="003158F6">
              <w:rPr>
                <w:rFonts w:ascii="Calibri" w:eastAsia="Times New Roman" w:hAnsi="Calibri" w:cs="Calibri"/>
                <w:lang w:eastAsia="nb-NO"/>
              </w:rPr>
              <w:t xml:space="preserve">med datterselskaper og tilknyttede selskaper </w:t>
            </w:r>
            <w:r w:rsidRPr="004D739B">
              <w:rPr>
                <w:rFonts w:ascii="Calibri" w:eastAsia="Times New Roman" w:hAnsi="Calibri" w:cs="Calibri"/>
                <w:lang w:eastAsia="nb-NO"/>
              </w:rPr>
              <w:t>vurdere å rådføre seg med lokale myndigheter</w:t>
            </w:r>
            <w:r w:rsidR="00A46C35" w:rsidRPr="004D739B">
              <w:rPr>
                <w:rFonts w:ascii="Calibri" w:eastAsia="Times New Roman" w:hAnsi="Calibri" w:cs="Calibri"/>
                <w:lang w:eastAsia="nb-NO"/>
              </w:rPr>
              <w:t xml:space="preserve"> (eks politi, </w:t>
            </w:r>
            <w:r w:rsidR="00E35E83">
              <w:rPr>
                <w:rFonts w:ascii="Calibri" w:eastAsia="Times New Roman" w:hAnsi="Calibri" w:cs="Calibri"/>
                <w:lang w:eastAsia="nb-NO"/>
              </w:rPr>
              <w:t>NAV</w:t>
            </w:r>
            <w:r w:rsidR="00A46C35" w:rsidRPr="004D739B">
              <w:rPr>
                <w:rFonts w:ascii="Calibri" w:eastAsia="Times New Roman" w:hAnsi="Calibri" w:cs="Calibri"/>
                <w:lang w:eastAsia="nb-NO"/>
              </w:rPr>
              <w:t xml:space="preserve">, arbeidstilsyn) </w:t>
            </w:r>
          </w:p>
          <w:p w14:paraId="0A4A375E" w14:textId="2EFF43F2" w:rsidR="00FB713A" w:rsidRPr="007E320A" w:rsidRDefault="004D1103" w:rsidP="007E320A">
            <w:pPr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4D739B">
              <w:rPr>
                <w:rFonts w:ascii="Calibri" w:eastAsia="Times New Roman" w:hAnsi="Calibri" w:cs="Calibri"/>
                <w:lang w:eastAsia="nb-NO"/>
              </w:rPr>
              <w:t xml:space="preserve">Brudd registreres i avvikssystemet, prosedyre for avviksbehandling utløses. </w:t>
            </w:r>
            <w:r w:rsidR="00FB713A" w:rsidRPr="004D739B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FB713A" w14:paraId="1C64B9CB" w14:textId="77777777" w:rsidTr="004F16DC">
        <w:tc>
          <w:tcPr>
            <w:tcW w:w="2972" w:type="dxa"/>
          </w:tcPr>
          <w:p w14:paraId="580B8379" w14:textId="77777777" w:rsidR="00FB713A" w:rsidRPr="00DB0C2C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b/>
                <w:bCs/>
                <w:lang w:eastAsia="nb-NO"/>
              </w:rPr>
              <w:t>5. Kommuniser hvordan påvirkningen er</w:t>
            </w:r>
          </w:p>
          <w:p w14:paraId="4CBFA48E" w14:textId="77777777" w:rsidR="00FB713A" w:rsidRPr="00DB0C2C" w:rsidRDefault="00FB713A" w:rsidP="00A428C1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håndtert </w:t>
            </w:r>
          </w:p>
        </w:tc>
        <w:tc>
          <w:tcPr>
            <w:tcW w:w="10773" w:type="dxa"/>
          </w:tcPr>
          <w:p w14:paraId="3C8B2F01" w14:textId="6ABFEFA8" w:rsidR="00C81EAA" w:rsidRPr="00DB0C2C" w:rsidRDefault="00C81EAA" w:rsidP="00922982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Selskapets årlige rapportering knyttet til åpenhetsloven og aktsomhetsvurderinger vil tilgjengeliggjøres på våre nettsider innen 30. juni hvert år. Vi</w:t>
            </w:r>
            <w:r w:rsidR="00922982" w:rsidRPr="00DB0C2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DB0C2C">
              <w:rPr>
                <w:rFonts w:ascii="Calibri" w:eastAsia="Times New Roman" w:hAnsi="Calibri" w:cs="Calibri"/>
                <w:lang w:eastAsia="nb-NO"/>
              </w:rPr>
              <w:t xml:space="preserve">skal i årsberetningen opplyse om hvor redegjørelsen er tilgjengelig. Rapporten vil inneholde følgende: </w:t>
            </w:r>
          </w:p>
          <w:p w14:paraId="42971381" w14:textId="77777777" w:rsidR="00C81EAA" w:rsidRPr="00DB0C2C" w:rsidRDefault="00C81EAA" w:rsidP="00C81EA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• En generell beskrivelse av virksomhetens organisering, driftsområde, retningslinjer og rutiner for å håndtere faktiske og mulige negative konsekvenser for</w:t>
            </w:r>
          </w:p>
          <w:p w14:paraId="38D4030C" w14:textId="77777777" w:rsidR="00C81EAA" w:rsidRPr="00DB0C2C" w:rsidRDefault="00C81EAA" w:rsidP="00C81EA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grunnleggende menneskerettigheter og anstendige arbeidsforhold</w:t>
            </w:r>
          </w:p>
          <w:p w14:paraId="3885AC44" w14:textId="77777777" w:rsidR="00C81EAA" w:rsidRPr="00DB0C2C" w:rsidRDefault="00C81EAA" w:rsidP="00C81EA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• Opplysninger om faktiske negative konsekvenser og vesentlig risiko for negative konsekvenser som virksomheten har avdekket gjennom sine</w:t>
            </w:r>
          </w:p>
          <w:p w14:paraId="7B2E7C6C" w14:textId="77777777" w:rsidR="00C81EAA" w:rsidRPr="00DB0C2C" w:rsidRDefault="00C81EAA" w:rsidP="00C81EA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aktsomhetsvurderinger</w:t>
            </w:r>
          </w:p>
          <w:p w14:paraId="416845A1" w14:textId="77777777" w:rsidR="00C81EAA" w:rsidRPr="00DB0C2C" w:rsidRDefault="00C81EAA" w:rsidP="00C81EA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 xml:space="preserve">• Opplysninger om tiltak som virksomheten har iverksatt eller planlegger å iverksette for å stanse faktiske negative konsekvenser eller begrense vesentlig risiko for </w:t>
            </w:r>
          </w:p>
          <w:p w14:paraId="21037323" w14:textId="5A569B08" w:rsidR="00FB713A" w:rsidRPr="00DB0C2C" w:rsidRDefault="00C81EAA" w:rsidP="0087320B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negative konsekvenser, og resultatet eller forventede resultater av disse tiltakene</w:t>
            </w:r>
          </w:p>
        </w:tc>
      </w:tr>
      <w:tr w:rsidR="00FB713A" w14:paraId="321B7A9F" w14:textId="77777777" w:rsidTr="004F16DC">
        <w:tc>
          <w:tcPr>
            <w:tcW w:w="2972" w:type="dxa"/>
          </w:tcPr>
          <w:p w14:paraId="5F385D70" w14:textId="77777777" w:rsidR="00FB713A" w:rsidRPr="00DB0C2C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b/>
                <w:bCs/>
                <w:lang w:eastAsia="nb-NO"/>
              </w:rPr>
              <w:t>6. Sørg for, eller samarbeid om</w:t>
            </w:r>
          </w:p>
          <w:p w14:paraId="1065707A" w14:textId="77777777" w:rsidR="00FB713A" w:rsidRPr="00DB0C2C" w:rsidRDefault="00FB713A" w:rsidP="00A428C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gjenoppretting </w:t>
            </w:r>
          </w:p>
        </w:tc>
        <w:tc>
          <w:tcPr>
            <w:tcW w:w="10773" w:type="dxa"/>
          </w:tcPr>
          <w:p w14:paraId="33EDEC86" w14:textId="77777777" w:rsidR="00AE3422" w:rsidRPr="00DB0C2C" w:rsidRDefault="00AE3422" w:rsidP="00AE3422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 xml:space="preserve">Dersom det mottas avviksmelding, skal våre prosedyrer for avvik iverksettes og håndtering gjennomføres i henhold til interne føringer. </w:t>
            </w:r>
          </w:p>
          <w:p w14:paraId="60B8F1A7" w14:textId="790C13E5" w:rsidR="00FB713A" w:rsidRPr="00DB0C2C" w:rsidRDefault="00AE3422" w:rsidP="00DC009E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B0C2C">
              <w:rPr>
                <w:rFonts w:ascii="Calibri" w:eastAsia="Times New Roman" w:hAnsi="Calibri" w:cs="Calibri"/>
                <w:lang w:eastAsia="nb-NO"/>
              </w:rPr>
              <w:t>En konsekvens av funn i aktsomhetsvurderingen kan være å avslutte leverandøravtalen</w:t>
            </w:r>
            <w:r w:rsidR="00327495" w:rsidRPr="00DB0C2C">
              <w:rPr>
                <w:rFonts w:ascii="Calibri" w:eastAsia="Times New Roman" w:hAnsi="Calibri" w:cs="Calibri"/>
                <w:lang w:eastAsia="nb-NO"/>
              </w:rPr>
              <w:t xml:space="preserve">, </w:t>
            </w:r>
            <w:r w:rsidR="00DB0C2C" w:rsidRPr="00DB0C2C">
              <w:rPr>
                <w:rFonts w:ascii="Calibri" w:eastAsia="Times New Roman" w:hAnsi="Calibri" w:cs="Calibri"/>
                <w:lang w:eastAsia="nb-NO"/>
              </w:rPr>
              <w:t>dette avklares også med innkjøpspartner</w:t>
            </w:r>
            <w:r w:rsidRPr="00DB0C2C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</w:tbl>
    <w:p w14:paraId="5E258909" w14:textId="77777777" w:rsidR="00BF0EB4" w:rsidRDefault="00BF0EB4">
      <w:pPr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br w:type="page"/>
      </w:r>
    </w:p>
    <w:p w14:paraId="08B8B263" w14:textId="59B3B4A2" w:rsidR="00783E22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BF0EB4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lastRenderedPageBreak/>
        <w:t>3.</w:t>
      </w:r>
      <w:r w:rsidRPr="00BF0EB4">
        <w:rPr>
          <w:b/>
          <w:bCs/>
        </w:rPr>
        <w:t xml:space="preserve"> </w:t>
      </w:r>
      <w:r w:rsidRPr="00BF0EB4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.2 Informasjonsforespørsler </w:t>
      </w:r>
    </w:p>
    <w:p w14:paraId="0828D36E" w14:textId="77777777" w:rsidR="009C4BF8" w:rsidRPr="00BF0EB4" w:rsidRDefault="009C4BF8" w:rsidP="00783E2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</w:p>
    <w:p w14:paraId="1D08E467" w14:textId="18C29F51" w:rsidR="00783E22" w:rsidRPr="00FD3E75" w:rsidRDefault="00CD350D" w:rsidP="00A529A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 </w:t>
      </w:r>
      <w:r w:rsidR="003158F6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med datterselskaper og tilknyttede selskaper 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vil kunne motta forespørsler om informasjon i forbindelse med selskapets etterlevelse av åpenhetsloven. Det er viktig at informasjonen gitt av </w:t>
      </w:r>
      <w:r w:rsidR="001C0761">
        <w:rPr>
          <w:rFonts w:ascii="Calibri" w:eastAsia="Times New Roman" w:hAnsi="Calibri" w:cs="Calibri"/>
          <w:kern w:val="0"/>
          <w:lang w:eastAsia="nb-NO"/>
          <w14:ligatures w14:val="none"/>
        </w:rPr>
        <w:t>våre selskap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er tilstrekkelig og at den er forsvarlig kvalitetssikret internt i henhold til prosedyrene </w:t>
      </w:r>
    </w:p>
    <w:p w14:paraId="792F1636" w14:textId="77777777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beskrevet nedenfor. </w:t>
      </w:r>
    </w:p>
    <w:p w14:paraId="36C5F1E7" w14:textId="1EAC929B" w:rsidR="00783E22" w:rsidRPr="00FD3E75" w:rsidRDefault="00783E22" w:rsidP="0027322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Etter åpenhetsloven § 6 kan enhver person etterspørre informasjon om hvordan </w:t>
      </w:r>
      <w:r w:rsidR="0027322D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</w:t>
      </w:r>
      <w:r w:rsidR="001C0761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med datterselskaper og tilknyttede selskaper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håndterer faktiske og potensielle negative konsekvenser etter § 4</w:t>
      </w:r>
      <w:r w:rsidR="0027322D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(aktsomhetsvurdering). Dette inkluderer både generell informasjon og informasjon knyttet til et bestemt produkt </w:t>
      </w:r>
    </w:p>
    <w:p w14:paraId="62DE0C2C" w14:textId="77777777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markedsført av selskapet. </w:t>
      </w:r>
    </w:p>
    <w:p w14:paraId="4583E753" w14:textId="77777777" w:rsidR="001D408A" w:rsidRPr="00FD3E75" w:rsidRDefault="001D408A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7B85EB58" w14:textId="6368C614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Ut fra loven §6 kan følgende krav om informasjon avslås: </w:t>
      </w:r>
    </w:p>
    <w:p w14:paraId="02A3E778" w14:textId="01125949" w:rsidR="00783E22" w:rsidRPr="00FD3E75" w:rsidRDefault="00783E22" w:rsidP="001D40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• kravet ikke gir tilstrekkelig grunnlag for å identifisere</w:t>
      </w:r>
      <w:r w:rsidR="001D408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hva kravet gjelder</w:t>
      </w:r>
    </w:p>
    <w:p w14:paraId="64F3889C" w14:textId="77777777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• kravet er åpenbart urimelig</w:t>
      </w:r>
    </w:p>
    <w:p w14:paraId="612F857C" w14:textId="7DF8FED6" w:rsidR="00783E22" w:rsidRPr="00FD3E75" w:rsidRDefault="00783E22" w:rsidP="001D40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• den etterspurte informasjonen gjelder opplysninger om</w:t>
      </w:r>
      <w:r w:rsidR="001D408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noens personlige forhold</w:t>
      </w:r>
    </w:p>
    <w:p w14:paraId="3F822CB9" w14:textId="5D93C43C" w:rsidR="00783E22" w:rsidRPr="00FD3E75" w:rsidRDefault="00783E22" w:rsidP="001D40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• den etterspurte informasjonen gjelder opplysninger om</w:t>
      </w:r>
      <w:r w:rsidR="005D382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tekniske innretninger og fremgangsmåter eller andre</w:t>
      </w:r>
    </w:p>
    <w:p w14:paraId="1E02E361" w14:textId="42E086AC" w:rsidR="00783E22" w:rsidRPr="00FD3E75" w:rsidRDefault="00783E22" w:rsidP="001D40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drifts- eller forretningsforhold som det vil være av</w:t>
      </w:r>
      <w:r w:rsidR="001D408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konkurransemessig betydning å hemmeligholde av</w:t>
      </w:r>
      <w:r w:rsidR="001D408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hensyn til den opplysningen angår</w:t>
      </w:r>
    </w:p>
    <w:p w14:paraId="48657EDA" w14:textId="77777777" w:rsidR="003013B0" w:rsidRPr="00FD3E75" w:rsidRDefault="003013B0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49CF6F0" w14:textId="4A7A8AAD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Retten til informasjon om faktiske negative virkninger på grunnleggende menneskerettigheter som </w:t>
      </w:r>
      <w:r w:rsidR="003013B0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</w:t>
      </w:r>
      <w:r w:rsidR="00F338A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med datterselskaper og tilknytt</w:t>
      </w:r>
      <w:r w:rsidR="00A07B2A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ede selskaper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er kjent</w:t>
      </w:r>
      <w:r w:rsidR="00A07B2A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med, gjelder uavhengig av begrensningene i avsnittet ovenfor.</w:t>
      </w:r>
    </w:p>
    <w:p w14:paraId="0C705AF4" w14:textId="77777777" w:rsidR="00D621A6" w:rsidRPr="00FD3E75" w:rsidRDefault="00D621A6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7191E528" w14:textId="02F49626" w:rsidR="00783E22" w:rsidRPr="00FD3E75" w:rsidRDefault="00783E22" w:rsidP="002627C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Krav kan også avslås hvis de er i konflikt med forsyningsforskriften, </w:t>
      </w:r>
      <w:r w:rsidR="001972CC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energiloven</w:t>
      </w:r>
      <w:r w:rsidR="001808BB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(</w:t>
      </w:r>
      <w:r w:rsidR="002627C5">
        <w:rPr>
          <w:rFonts w:ascii="Calibri" w:eastAsia="Times New Roman" w:hAnsi="Calibri" w:cs="Calibri"/>
          <w:kern w:val="0"/>
          <w:lang w:eastAsia="nb-NO"/>
          <w14:ligatures w14:val="none"/>
        </w:rPr>
        <w:t>kraftberedskapsforskriften)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, personopplysningsloven og sikkerhetsloven. Behandlingen av informasjonskrav skal skje etter kravene i § 7 i Åpenhetsloven.</w:t>
      </w:r>
      <w:r w:rsidR="000679E5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br/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Opplysningene skal gis skriftlig og skal være tilstrekkelige og forståelige. </w:t>
      </w:r>
    </w:p>
    <w:p w14:paraId="15219F32" w14:textId="3224D6E1" w:rsidR="00783E22" w:rsidRPr="00FD3E75" w:rsidRDefault="000679E5" w:rsidP="00466A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 </w:t>
      </w:r>
      <w:r w:rsidR="00A07B2A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med datterselskap og tilknyttede selskap 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skal gi informasjon innen rimelig tid og senest tre uker etter at forespørselen om informasjon ble mottatt. Hvis den forespurte informasjonen eller typen informasjon gjør det uforholdsmessig belastende å svare på forespørselen om informasjon innen tre uker, skal informasjonen oppgis innen to måneder etter at forespørselen ble mottatt.</w:t>
      </w:r>
      <w:r w:rsidR="00466A7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="00662335">
        <w:rPr>
          <w:rFonts w:ascii="Calibri" w:eastAsia="Times New Roman" w:hAnsi="Calibri" w:cs="Calibri"/>
          <w:kern w:val="0"/>
          <w:lang w:eastAsia="nb-NO"/>
          <w14:ligatures w14:val="none"/>
        </w:rPr>
        <w:t>Selskapene</w:t>
      </w:r>
      <w:r w:rsidR="00783E22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skal da, senest tre uker etter at forespørselen om informasjon ble mottatt, informere den som ber om informasjon om forlengelsen av fristen, årsakene til forlengelsen og når informasjonen kan forventes. </w:t>
      </w:r>
    </w:p>
    <w:p w14:paraId="45D05A84" w14:textId="77777777" w:rsidR="00943285" w:rsidRDefault="00943285" w:rsidP="00FD3E7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EDBF188" w14:textId="5BB708BD" w:rsidR="00783E22" w:rsidRPr="00FD3E75" w:rsidRDefault="00783E22" w:rsidP="00FD3E7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>Derso</w:t>
      </w:r>
      <w:r w:rsidR="00466A7A"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m </w:t>
      </w:r>
      <w:r w:rsidR="00662335">
        <w:rPr>
          <w:rFonts w:ascii="Calibri" w:eastAsia="Times New Roman" w:hAnsi="Calibri" w:cs="Calibri"/>
          <w:kern w:val="0"/>
          <w:lang w:eastAsia="nb-NO"/>
          <w14:ligatures w14:val="none"/>
        </w:rPr>
        <w:t>selskapene</w:t>
      </w: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avslår en anmodning om informasjon, skal selskapet informere om det rettslige grunnlaget for nektelsen, retten og fristen på tre uker for å kreve en nærmere begrunnelse for nektelsen og at Forbrukertilsynet er tilsyns- og </w:t>
      </w:r>
    </w:p>
    <w:p w14:paraId="66CDE0D2" w14:textId="77777777" w:rsidR="00783E22" w:rsidRPr="00FD3E75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D3E75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veiledningsorganet. </w:t>
      </w:r>
    </w:p>
    <w:p w14:paraId="7ACB38AB" w14:textId="77777777" w:rsidR="00A529A0" w:rsidRDefault="00A529A0" w:rsidP="00783E22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6D4F9F54" w14:textId="77777777" w:rsidR="00A529A0" w:rsidRDefault="00A529A0" w:rsidP="00783E22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6953EC13" w14:textId="17D72164" w:rsidR="009C4BF8" w:rsidRDefault="009C4BF8">
      <w:pPr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</w:p>
    <w:p w14:paraId="6675F579" w14:textId="7B543A77" w:rsidR="00783E22" w:rsidRPr="00CB5E1F" w:rsidRDefault="00783E22" w:rsidP="007A6EB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0B6671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3.3 </w:t>
      </w:r>
      <w:r w:rsidRPr="00CB5E1F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Interne prosedyrer knyttet til informasjonsforespørsler </w:t>
      </w:r>
    </w:p>
    <w:p w14:paraId="0673BB1F" w14:textId="77777777" w:rsidR="009C4BF8" w:rsidRDefault="009C4BF8" w:rsidP="001430A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1660F57F" w14:textId="6908DAFE" w:rsidR="00783E22" w:rsidRPr="00CB5E1F" w:rsidRDefault="007A6EB4" w:rsidP="001430A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="00783E22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 </w:t>
      </w:r>
      <w:r w:rsidR="005C0BDA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med datterselskap og tilknyttede selskap </w:t>
      </w:r>
      <w:r w:rsidR="00783E22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er ansvarlig for håndtering av eksterne forespørsler om informasjon etter lovens § 6. </w:t>
      </w: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br/>
      </w:r>
      <w:r w:rsidR="00783E22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All håndtering av forespørsler skal dokumenteres skriftlig. Det første trinnet er å vurdere om forespørselen oppfyller vilkårene etter lovens § 6 eller </w:t>
      </w:r>
    </w:p>
    <w:p w14:paraId="24B3BBA7" w14:textId="6B2E8DE8" w:rsidR="00783E22" w:rsidRPr="00CB5E1F" w:rsidRDefault="00783E22" w:rsidP="000B667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om den skal avslås. Dersom forespørselen avslås på grunnlag av § 6 annet eller fjerde ledd, skal det utarbeides et utkast til svar som grunngir nektelsen. </w:t>
      </w:r>
    </w:p>
    <w:p w14:paraId="1A0E10EA" w14:textId="30DD27B6" w:rsidR="00783E22" w:rsidRPr="00CB5E1F" w:rsidRDefault="00783E22" w:rsidP="00C901C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Et utkast til svar (enten forespørselen er </w:t>
      </w:r>
      <w:r w:rsidR="00A878F8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>tenkt å innfris</w:t>
      </w: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eller nektes) skal sendes til </w:t>
      </w:r>
      <w:r w:rsidR="00CB5E1F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konsernsjef </w:t>
      </w: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og skal godkjennes av </w:t>
      </w:r>
      <w:r w:rsidR="00CB5E1F"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>konsernsjef</w:t>
      </w: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før svaret </w:t>
      </w:r>
    </w:p>
    <w:p w14:paraId="4A6E2CFB" w14:textId="434747C7" w:rsidR="00783E22" w:rsidRPr="00BF0EB4" w:rsidRDefault="00783E22" w:rsidP="00CB5E1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CB5E1F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sendes til ekstern. </w:t>
      </w:r>
      <w:r w:rsidR="00CB5E1F">
        <w:rPr>
          <w:rFonts w:ascii="Calibri" w:eastAsia="Times New Roman" w:hAnsi="Calibri" w:cs="Calibri"/>
          <w:kern w:val="0"/>
          <w:lang w:eastAsia="nb-NO"/>
          <w14:ligatures w14:val="none"/>
        </w:rPr>
        <w:br/>
      </w:r>
      <w:r w:rsidRPr="002023A3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I </w:t>
      </w: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saker som gjelder potensielle brudd på menneskerettighets-/arbeidsvilkår i selskapets leverandørkjede som kan medføre </w:t>
      </w:r>
    </w:p>
    <w:p w14:paraId="13074044" w14:textId="5EBA4774" w:rsidR="00AF5103" w:rsidRPr="00BF0EB4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juridisk risiko og/eller omdømmerisiko for </w:t>
      </w:r>
      <w:r w:rsidR="00CB5E1F"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>Telemark</w:t>
      </w: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Energi</w:t>
      </w:r>
      <w:r w:rsidR="005C0BDA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med datterselskap og tilknyttede selskap</w:t>
      </w: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, skal </w:t>
      </w:r>
      <w:r w:rsidR="00BF0EB4"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>konsernsjef</w:t>
      </w: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rådføre seg med styret før det gis svar til</w:t>
      </w:r>
      <w:r w:rsidR="00A1727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 w:rsidRPr="00BF0EB4">
        <w:rPr>
          <w:rFonts w:ascii="Calibri" w:eastAsia="Times New Roman" w:hAnsi="Calibri" w:cs="Calibri"/>
          <w:kern w:val="0"/>
          <w:lang w:eastAsia="nb-NO"/>
          <w14:ligatures w14:val="none"/>
        </w:rPr>
        <w:t>en ekstern part.</w:t>
      </w:r>
    </w:p>
    <w:p w14:paraId="70EE8440" w14:textId="77777777" w:rsidR="00783E22" w:rsidRPr="00775C47" w:rsidRDefault="00783E22" w:rsidP="00783E22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65783000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0E48C9DE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37958C81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3E48237E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7121401E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27BB248A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2691A0C7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7A7CE6ED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29B096FF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135BE7EC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02FB3E59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642C6A76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085C27B8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236CBDAC" w14:textId="77777777" w:rsidR="00AF5103" w:rsidRPr="00775C47" w:rsidRDefault="00AF5103" w:rsidP="00D25F5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39500543" w14:textId="77777777" w:rsidR="007754D2" w:rsidRPr="00775C47" w:rsidRDefault="007754D2" w:rsidP="008032E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26823A3B" w14:textId="77777777" w:rsidR="007754D2" w:rsidRPr="00775C47" w:rsidRDefault="007754D2" w:rsidP="008032E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4D95D10A" w14:textId="77777777" w:rsidR="007754D2" w:rsidRPr="00775C47" w:rsidRDefault="007754D2" w:rsidP="008032E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71E04627" w14:textId="77777777" w:rsidR="007754D2" w:rsidRPr="00775C47" w:rsidRDefault="007754D2" w:rsidP="008032E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70BD7F3A" w14:textId="77777777" w:rsidR="007754D2" w:rsidRPr="00775C47" w:rsidRDefault="007754D2" w:rsidP="008032E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</w:pPr>
    </w:p>
    <w:p w14:paraId="5FD69454" w14:textId="3A5D2C74" w:rsidR="008032E8" w:rsidRPr="00775C47" w:rsidRDefault="008032E8" w:rsidP="005228AF">
      <w:pPr>
        <w:rPr>
          <w:color w:val="FF0000"/>
          <w:lang w:eastAsia="nb-NO"/>
        </w:rPr>
      </w:pPr>
      <w:r w:rsidRPr="00775C47">
        <w:rPr>
          <w:rFonts w:ascii="Calibri" w:eastAsia="Times New Roman" w:hAnsi="Calibri" w:cs="Calibri"/>
          <w:color w:val="FF0000"/>
          <w:kern w:val="0"/>
          <w:lang w:eastAsia="nb-NO"/>
          <w14:ligatures w14:val="none"/>
        </w:rPr>
        <w:t> </w:t>
      </w:r>
    </w:p>
    <w:p w14:paraId="2E634027" w14:textId="77777777" w:rsidR="00784DE3" w:rsidRDefault="00784DE3"/>
    <w:sectPr w:rsidR="00784DE3" w:rsidSect="00B06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30F"/>
    <w:multiLevelType w:val="hybridMultilevel"/>
    <w:tmpl w:val="01906E42"/>
    <w:lvl w:ilvl="0" w:tplc="51CEE3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6ED"/>
    <w:multiLevelType w:val="hybridMultilevel"/>
    <w:tmpl w:val="6E9016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F49"/>
    <w:multiLevelType w:val="hybridMultilevel"/>
    <w:tmpl w:val="6108C6A2"/>
    <w:lvl w:ilvl="0" w:tplc="F03264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6814"/>
    <w:multiLevelType w:val="hybridMultilevel"/>
    <w:tmpl w:val="55F4FF22"/>
    <w:lvl w:ilvl="0" w:tplc="54103F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ED9"/>
    <w:multiLevelType w:val="hybridMultilevel"/>
    <w:tmpl w:val="076AD554"/>
    <w:lvl w:ilvl="0" w:tplc="DF86CE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79BC"/>
    <w:multiLevelType w:val="hybridMultilevel"/>
    <w:tmpl w:val="2BC2131A"/>
    <w:lvl w:ilvl="0" w:tplc="8B40A0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E3BFE"/>
    <w:multiLevelType w:val="hybridMultilevel"/>
    <w:tmpl w:val="594C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2861"/>
    <w:multiLevelType w:val="hybridMultilevel"/>
    <w:tmpl w:val="80C0E89A"/>
    <w:lvl w:ilvl="0" w:tplc="B4FE283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804379">
    <w:abstractNumId w:val="6"/>
  </w:num>
  <w:num w:numId="2" w16cid:durableId="775709974">
    <w:abstractNumId w:val="5"/>
  </w:num>
  <w:num w:numId="3" w16cid:durableId="1773042677">
    <w:abstractNumId w:val="0"/>
  </w:num>
  <w:num w:numId="4" w16cid:durableId="862093145">
    <w:abstractNumId w:val="7"/>
  </w:num>
  <w:num w:numId="5" w16cid:durableId="1325861040">
    <w:abstractNumId w:val="2"/>
  </w:num>
  <w:num w:numId="6" w16cid:durableId="530261883">
    <w:abstractNumId w:val="3"/>
  </w:num>
  <w:num w:numId="7" w16cid:durableId="1771585194">
    <w:abstractNumId w:val="1"/>
  </w:num>
  <w:num w:numId="8" w16cid:durableId="23170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8"/>
    <w:rsid w:val="000011F6"/>
    <w:rsid w:val="00005AAD"/>
    <w:rsid w:val="0002076B"/>
    <w:rsid w:val="00020F04"/>
    <w:rsid w:val="000245E8"/>
    <w:rsid w:val="00026FCB"/>
    <w:rsid w:val="000422AD"/>
    <w:rsid w:val="00042614"/>
    <w:rsid w:val="00055B64"/>
    <w:rsid w:val="000679E5"/>
    <w:rsid w:val="00071249"/>
    <w:rsid w:val="0008528F"/>
    <w:rsid w:val="00092A65"/>
    <w:rsid w:val="00094F22"/>
    <w:rsid w:val="000A1AC2"/>
    <w:rsid w:val="000A506E"/>
    <w:rsid w:val="000A5C66"/>
    <w:rsid w:val="000B49A5"/>
    <w:rsid w:val="000B6671"/>
    <w:rsid w:val="000C7F82"/>
    <w:rsid w:val="000D4071"/>
    <w:rsid w:val="000E0947"/>
    <w:rsid w:val="000E225E"/>
    <w:rsid w:val="000F1040"/>
    <w:rsid w:val="000F6C20"/>
    <w:rsid w:val="000F7EAC"/>
    <w:rsid w:val="00105934"/>
    <w:rsid w:val="00105A45"/>
    <w:rsid w:val="001220C6"/>
    <w:rsid w:val="00123EF9"/>
    <w:rsid w:val="0012491D"/>
    <w:rsid w:val="00137C9A"/>
    <w:rsid w:val="001430AD"/>
    <w:rsid w:val="00152246"/>
    <w:rsid w:val="001548EB"/>
    <w:rsid w:val="00161343"/>
    <w:rsid w:val="00166094"/>
    <w:rsid w:val="00167EA3"/>
    <w:rsid w:val="00170E78"/>
    <w:rsid w:val="00172C31"/>
    <w:rsid w:val="00173D18"/>
    <w:rsid w:val="00176271"/>
    <w:rsid w:val="00177359"/>
    <w:rsid w:val="00180714"/>
    <w:rsid w:val="001808BB"/>
    <w:rsid w:val="00181A84"/>
    <w:rsid w:val="00187FD7"/>
    <w:rsid w:val="00191650"/>
    <w:rsid w:val="001933D1"/>
    <w:rsid w:val="00193EB5"/>
    <w:rsid w:val="0019475C"/>
    <w:rsid w:val="001972CC"/>
    <w:rsid w:val="001A52D3"/>
    <w:rsid w:val="001B5596"/>
    <w:rsid w:val="001C0761"/>
    <w:rsid w:val="001C2CC4"/>
    <w:rsid w:val="001C3040"/>
    <w:rsid w:val="001C4FA5"/>
    <w:rsid w:val="001C5B2B"/>
    <w:rsid w:val="001C66A5"/>
    <w:rsid w:val="001D2DD0"/>
    <w:rsid w:val="001D408A"/>
    <w:rsid w:val="001D6779"/>
    <w:rsid w:val="001D71D4"/>
    <w:rsid w:val="001E485B"/>
    <w:rsid w:val="001E679F"/>
    <w:rsid w:val="001E6EDA"/>
    <w:rsid w:val="001F1B5D"/>
    <w:rsid w:val="001F427F"/>
    <w:rsid w:val="001F4FBD"/>
    <w:rsid w:val="002019A3"/>
    <w:rsid w:val="002023A3"/>
    <w:rsid w:val="00205BC2"/>
    <w:rsid w:val="00210DF1"/>
    <w:rsid w:val="002157E2"/>
    <w:rsid w:val="00220509"/>
    <w:rsid w:val="002278A2"/>
    <w:rsid w:val="00257C1B"/>
    <w:rsid w:val="002605EE"/>
    <w:rsid w:val="002627C5"/>
    <w:rsid w:val="002658F0"/>
    <w:rsid w:val="002702F4"/>
    <w:rsid w:val="002713E8"/>
    <w:rsid w:val="0027322D"/>
    <w:rsid w:val="00276052"/>
    <w:rsid w:val="00283C18"/>
    <w:rsid w:val="00286F9A"/>
    <w:rsid w:val="00287B31"/>
    <w:rsid w:val="002914AD"/>
    <w:rsid w:val="002948F7"/>
    <w:rsid w:val="002A195C"/>
    <w:rsid w:val="002A357D"/>
    <w:rsid w:val="002A441D"/>
    <w:rsid w:val="002A6ACC"/>
    <w:rsid w:val="002B1E18"/>
    <w:rsid w:val="002C13E1"/>
    <w:rsid w:val="002C193E"/>
    <w:rsid w:val="002C2B88"/>
    <w:rsid w:val="002C7E4E"/>
    <w:rsid w:val="002D54DA"/>
    <w:rsid w:val="002F0BF4"/>
    <w:rsid w:val="002F1C70"/>
    <w:rsid w:val="003013B0"/>
    <w:rsid w:val="00306A9E"/>
    <w:rsid w:val="003071D9"/>
    <w:rsid w:val="003158F6"/>
    <w:rsid w:val="00316FF5"/>
    <w:rsid w:val="00321BAD"/>
    <w:rsid w:val="003259B7"/>
    <w:rsid w:val="00327369"/>
    <w:rsid w:val="00327495"/>
    <w:rsid w:val="00332DFD"/>
    <w:rsid w:val="0034303E"/>
    <w:rsid w:val="00344FBE"/>
    <w:rsid w:val="00362958"/>
    <w:rsid w:val="0036352D"/>
    <w:rsid w:val="003665A3"/>
    <w:rsid w:val="00367B42"/>
    <w:rsid w:val="00370DAE"/>
    <w:rsid w:val="00373983"/>
    <w:rsid w:val="003759D2"/>
    <w:rsid w:val="0038046B"/>
    <w:rsid w:val="00382129"/>
    <w:rsid w:val="00385340"/>
    <w:rsid w:val="003A70FA"/>
    <w:rsid w:val="003B1E97"/>
    <w:rsid w:val="003B244C"/>
    <w:rsid w:val="003B43F0"/>
    <w:rsid w:val="003B777B"/>
    <w:rsid w:val="003C2C82"/>
    <w:rsid w:val="003C3761"/>
    <w:rsid w:val="003D01BB"/>
    <w:rsid w:val="003D0747"/>
    <w:rsid w:val="003D20FD"/>
    <w:rsid w:val="003D33C2"/>
    <w:rsid w:val="003D7CAD"/>
    <w:rsid w:val="003D7CBF"/>
    <w:rsid w:val="003E1A11"/>
    <w:rsid w:val="003E3514"/>
    <w:rsid w:val="003E7123"/>
    <w:rsid w:val="003F4BAB"/>
    <w:rsid w:val="003F534F"/>
    <w:rsid w:val="00401947"/>
    <w:rsid w:val="00403BC3"/>
    <w:rsid w:val="00406728"/>
    <w:rsid w:val="00410BD1"/>
    <w:rsid w:val="00412098"/>
    <w:rsid w:val="004134F6"/>
    <w:rsid w:val="00413A72"/>
    <w:rsid w:val="004244E9"/>
    <w:rsid w:val="004247B2"/>
    <w:rsid w:val="00430C1A"/>
    <w:rsid w:val="00435860"/>
    <w:rsid w:val="00440DFC"/>
    <w:rsid w:val="00444E08"/>
    <w:rsid w:val="00445895"/>
    <w:rsid w:val="00465558"/>
    <w:rsid w:val="00466A7A"/>
    <w:rsid w:val="004715AE"/>
    <w:rsid w:val="00482B45"/>
    <w:rsid w:val="0048506B"/>
    <w:rsid w:val="00490AB2"/>
    <w:rsid w:val="00493A4C"/>
    <w:rsid w:val="00495095"/>
    <w:rsid w:val="00496771"/>
    <w:rsid w:val="004A18EB"/>
    <w:rsid w:val="004B1630"/>
    <w:rsid w:val="004B4D44"/>
    <w:rsid w:val="004C1D09"/>
    <w:rsid w:val="004C49FB"/>
    <w:rsid w:val="004D1103"/>
    <w:rsid w:val="004D30B7"/>
    <w:rsid w:val="004D3AD4"/>
    <w:rsid w:val="004D739B"/>
    <w:rsid w:val="004D7683"/>
    <w:rsid w:val="004F0E7D"/>
    <w:rsid w:val="004F16DC"/>
    <w:rsid w:val="0050509B"/>
    <w:rsid w:val="00511687"/>
    <w:rsid w:val="00516AC8"/>
    <w:rsid w:val="005228AF"/>
    <w:rsid w:val="005304BC"/>
    <w:rsid w:val="00530E3A"/>
    <w:rsid w:val="00532092"/>
    <w:rsid w:val="00532119"/>
    <w:rsid w:val="00534DF0"/>
    <w:rsid w:val="00535C94"/>
    <w:rsid w:val="0054263C"/>
    <w:rsid w:val="00554717"/>
    <w:rsid w:val="00557CE7"/>
    <w:rsid w:val="00557DA1"/>
    <w:rsid w:val="00564522"/>
    <w:rsid w:val="005656E9"/>
    <w:rsid w:val="00571006"/>
    <w:rsid w:val="00581626"/>
    <w:rsid w:val="005933D4"/>
    <w:rsid w:val="00596174"/>
    <w:rsid w:val="005A0EB0"/>
    <w:rsid w:val="005A2CB7"/>
    <w:rsid w:val="005B2660"/>
    <w:rsid w:val="005B2680"/>
    <w:rsid w:val="005C0BDA"/>
    <w:rsid w:val="005C15ED"/>
    <w:rsid w:val="005D1B76"/>
    <w:rsid w:val="005D3820"/>
    <w:rsid w:val="005D6227"/>
    <w:rsid w:val="005E5693"/>
    <w:rsid w:val="005E7DEF"/>
    <w:rsid w:val="005F1540"/>
    <w:rsid w:val="005F1C75"/>
    <w:rsid w:val="005F4184"/>
    <w:rsid w:val="00601403"/>
    <w:rsid w:val="00601EDF"/>
    <w:rsid w:val="00621881"/>
    <w:rsid w:val="00626AF3"/>
    <w:rsid w:val="00633480"/>
    <w:rsid w:val="00640D65"/>
    <w:rsid w:val="006419C0"/>
    <w:rsid w:val="0064256B"/>
    <w:rsid w:val="006474E3"/>
    <w:rsid w:val="00647796"/>
    <w:rsid w:val="00652307"/>
    <w:rsid w:val="006568D2"/>
    <w:rsid w:val="00657571"/>
    <w:rsid w:val="00662335"/>
    <w:rsid w:val="00664BBB"/>
    <w:rsid w:val="00674C05"/>
    <w:rsid w:val="00684492"/>
    <w:rsid w:val="00684F03"/>
    <w:rsid w:val="0068546F"/>
    <w:rsid w:val="00687E90"/>
    <w:rsid w:val="006902DE"/>
    <w:rsid w:val="00690CBF"/>
    <w:rsid w:val="006A6536"/>
    <w:rsid w:val="006B6A48"/>
    <w:rsid w:val="006C0D29"/>
    <w:rsid w:val="006C1AD4"/>
    <w:rsid w:val="006D3800"/>
    <w:rsid w:val="006F355B"/>
    <w:rsid w:val="00701180"/>
    <w:rsid w:val="00705EC9"/>
    <w:rsid w:val="007066B5"/>
    <w:rsid w:val="00715BEE"/>
    <w:rsid w:val="00715F14"/>
    <w:rsid w:val="00722311"/>
    <w:rsid w:val="00746E4B"/>
    <w:rsid w:val="00757BE5"/>
    <w:rsid w:val="00762398"/>
    <w:rsid w:val="007754D2"/>
    <w:rsid w:val="00775C47"/>
    <w:rsid w:val="00783E22"/>
    <w:rsid w:val="00784DE3"/>
    <w:rsid w:val="007922ED"/>
    <w:rsid w:val="00797F9E"/>
    <w:rsid w:val="007A6EB4"/>
    <w:rsid w:val="007B38C5"/>
    <w:rsid w:val="007B4BB5"/>
    <w:rsid w:val="007C0A1D"/>
    <w:rsid w:val="007C57D8"/>
    <w:rsid w:val="007D05AB"/>
    <w:rsid w:val="007D4944"/>
    <w:rsid w:val="007E099E"/>
    <w:rsid w:val="007E320A"/>
    <w:rsid w:val="007F1A73"/>
    <w:rsid w:val="008032E8"/>
    <w:rsid w:val="00806A88"/>
    <w:rsid w:val="00822EDF"/>
    <w:rsid w:val="008243E8"/>
    <w:rsid w:val="008372EF"/>
    <w:rsid w:val="008374D6"/>
    <w:rsid w:val="00843D28"/>
    <w:rsid w:val="008460A2"/>
    <w:rsid w:val="008657B2"/>
    <w:rsid w:val="00866290"/>
    <w:rsid w:val="0087320B"/>
    <w:rsid w:val="0087473F"/>
    <w:rsid w:val="00877925"/>
    <w:rsid w:val="00883A78"/>
    <w:rsid w:val="00885635"/>
    <w:rsid w:val="008917AC"/>
    <w:rsid w:val="008A04CA"/>
    <w:rsid w:val="008A6D71"/>
    <w:rsid w:val="008B45B0"/>
    <w:rsid w:val="008C0A87"/>
    <w:rsid w:val="008D1C48"/>
    <w:rsid w:val="008D4365"/>
    <w:rsid w:val="008E094F"/>
    <w:rsid w:val="008E5464"/>
    <w:rsid w:val="008E5BE4"/>
    <w:rsid w:val="008E6CA5"/>
    <w:rsid w:val="008F2209"/>
    <w:rsid w:val="008F478C"/>
    <w:rsid w:val="0090244C"/>
    <w:rsid w:val="009040D3"/>
    <w:rsid w:val="0090774A"/>
    <w:rsid w:val="0092024D"/>
    <w:rsid w:val="00922982"/>
    <w:rsid w:val="00922D1F"/>
    <w:rsid w:val="00926E91"/>
    <w:rsid w:val="009315CC"/>
    <w:rsid w:val="00931AB4"/>
    <w:rsid w:val="009351DF"/>
    <w:rsid w:val="00942CA4"/>
    <w:rsid w:val="00943285"/>
    <w:rsid w:val="0094435E"/>
    <w:rsid w:val="009449F9"/>
    <w:rsid w:val="00963D76"/>
    <w:rsid w:val="00972859"/>
    <w:rsid w:val="00975145"/>
    <w:rsid w:val="009751B4"/>
    <w:rsid w:val="009756DD"/>
    <w:rsid w:val="009808B2"/>
    <w:rsid w:val="00984F8A"/>
    <w:rsid w:val="00996EEA"/>
    <w:rsid w:val="00997E93"/>
    <w:rsid w:val="009A0495"/>
    <w:rsid w:val="009A58F0"/>
    <w:rsid w:val="009C0262"/>
    <w:rsid w:val="009C4BF8"/>
    <w:rsid w:val="009C6A50"/>
    <w:rsid w:val="009D1BE6"/>
    <w:rsid w:val="009D1E0F"/>
    <w:rsid w:val="009E6B12"/>
    <w:rsid w:val="009E78E9"/>
    <w:rsid w:val="00A07B2A"/>
    <w:rsid w:val="00A17270"/>
    <w:rsid w:val="00A31C5E"/>
    <w:rsid w:val="00A350F5"/>
    <w:rsid w:val="00A3784C"/>
    <w:rsid w:val="00A40660"/>
    <w:rsid w:val="00A43390"/>
    <w:rsid w:val="00A46C35"/>
    <w:rsid w:val="00A529A0"/>
    <w:rsid w:val="00A550D2"/>
    <w:rsid w:val="00A55D42"/>
    <w:rsid w:val="00A564B9"/>
    <w:rsid w:val="00A61FBE"/>
    <w:rsid w:val="00A65CDA"/>
    <w:rsid w:val="00A6622A"/>
    <w:rsid w:val="00A704A7"/>
    <w:rsid w:val="00A71005"/>
    <w:rsid w:val="00A71308"/>
    <w:rsid w:val="00A72841"/>
    <w:rsid w:val="00A749C0"/>
    <w:rsid w:val="00A81903"/>
    <w:rsid w:val="00A86E5D"/>
    <w:rsid w:val="00A878F8"/>
    <w:rsid w:val="00A9422D"/>
    <w:rsid w:val="00A95248"/>
    <w:rsid w:val="00AA01BA"/>
    <w:rsid w:val="00AA7D63"/>
    <w:rsid w:val="00AB1A2E"/>
    <w:rsid w:val="00AC1388"/>
    <w:rsid w:val="00AE3422"/>
    <w:rsid w:val="00AE5392"/>
    <w:rsid w:val="00AF19EF"/>
    <w:rsid w:val="00AF4C2F"/>
    <w:rsid w:val="00AF4EF4"/>
    <w:rsid w:val="00AF5103"/>
    <w:rsid w:val="00AF560F"/>
    <w:rsid w:val="00B013EB"/>
    <w:rsid w:val="00B06582"/>
    <w:rsid w:val="00B069DC"/>
    <w:rsid w:val="00B12192"/>
    <w:rsid w:val="00B17502"/>
    <w:rsid w:val="00B20C2F"/>
    <w:rsid w:val="00B3206A"/>
    <w:rsid w:val="00B3511B"/>
    <w:rsid w:val="00B374EB"/>
    <w:rsid w:val="00B42DC1"/>
    <w:rsid w:val="00B4434E"/>
    <w:rsid w:val="00B46702"/>
    <w:rsid w:val="00B517B7"/>
    <w:rsid w:val="00B57631"/>
    <w:rsid w:val="00B613EB"/>
    <w:rsid w:val="00B64C8D"/>
    <w:rsid w:val="00B70B48"/>
    <w:rsid w:val="00B7385A"/>
    <w:rsid w:val="00B81157"/>
    <w:rsid w:val="00B92A90"/>
    <w:rsid w:val="00B940D1"/>
    <w:rsid w:val="00BB5DEB"/>
    <w:rsid w:val="00BC5646"/>
    <w:rsid w:val="00BC7337"/>
    <w:rsid w:val="00BD3C25"/>
    <w:rsid w:val="00BD51D4"/>
    <w:rsid w:val="00BE48A5"/>
    <w:rsid w:val="00BF0EB4"/>
    <w:rsid w:val="00BF290A"/>
    <w:rsid w:val="00C007B9"/>
    <w:rsid w:val="00C14A30"/>
    <w:rsid w:val="00C15855"/>
    <w:rsid w:val="00C215C3"/>
    <w:rsid w:val="00C228C4"/>
    <w:rsid w:val="00C238EF"/>
    <w:rsid w:val="00C26F65"/>
    <w:rsid w:val="00C33EA6"/>
    <w:rsid w:val="00C34DE8"/>
    <w:rsid w:val="00C42EC8"/>
    <w:rsid w:val="00C577D4"/>
    <w:rsid w:val="00C63E2C"/>
    <w:rsid w:val="00C73C1A"/>
    <w:rsid w:val="00C80407"/>
    <w:rsid w:val="00C80D95"/>
    <w:rsid w:val="00C81EAA"/>
    <w:rsid w:val="00C872BF"/>
    <w:rsid w:val="00C901CE"/>
    <w:rsid w:val="00C90F59"/>
    <w:rsid w:val="00C92335"/>
    <w:rsid w:val="00C92A4A"/>
    <w:rsid w:val="00C93856"/>
    <w:rsid w:val="00C968A9"/>
    <w:rsid w:val="00C97CB7"/>
    <w:rsid w:val="00CA0BBF"/>
    <w:rsid w:val="00CA1B9A"/>
    <w:rsid w:val="00CA3847"/>
    <w:rsid w:val="00CA4999"/>
    <w:rsid w:val="00CA58D2"/>
    <w:rsid w:val="00CB4034"/>
    <w:rsid w:val="00CB5E1F"/>
    <w:rsid w:val="00CB68DA"/>
    <w:rsid w:val="00CC4DB3"/>
    <w:rsid w:val="00CD1B64"/>
    <w:rsid w:val="00CD350D"/>
    <w:rsid w:val="00CD401B"/>
    <w:rsid w:val="00CD429E"/>
    <w:rsid w:val="00CD5847"/>
    <w:rsid w:val="00CE5395"/>
    <w:rsid w:val="00CE6205"/>
    <w:rsid w:val="00CF3F50"/>
    <w:rsid w:val="00CF6E0E"/>
    <w:rsid w:val="00CF7433"/>
    <w:rsid w:val="00CF7682"/>
    <w:rsid w:val="00D03CB1"/>
    <w:rsid w:val="00D1242D"/>
    <w:rsid w:val="00D15375"/>
    <w:rsid w:val="00D15C21"/>
    <w:rsid w:val="00D231F6"/>
    <w:rsid w:val="00D25F55"/>
    <w:rsid w:val="00D27658"/>
    <w:rsid w:val="00D34E6E"/>
    <w:rsid w:val="00D37427"/>
    <w:rsid w:val="00D506A7"/>
    <w:rsid w:val="00D6004C"/>
    <w:rsid w:val="00D621A6"/>
    <w:rsid w:val="00D65AB9"/>
    <w:rsid w:val="00D71252"/>
    <w:rsid w:val="00D80529"/>
    <w:rsid w:val="00D81286"/>
    <w:rsid w:val="00D93F5F"/>
    <w:rsid w:val="00DA1249"/>
    <w:rsid w:val="00DB024E"/>
    <w:rsid w:val="00DB0C2C"/>
    <w:rsid w:val="00DB1EBA"/>
    <w:rsid w:val="00DB7716"/>
    <w:rsid w:val="00DC009E"/>
    <w:rsid w:val="00DE12DF"/>
    <w:rsid w:val="00DE3FAD"/>
    <w:rsid w:val="00DE5F46"/>
    <w:rsid w:val="00DF4613"/>
    <w:rsid w:val="00DF51EF"/>
    <w:rsid w:val="00DF5E5A"/>
    <w:rsid w:val="00E037AF"/>
    <w:rsid w:val="00E03F82"/>
    <w:rsid w:val="00E101C0"/>
    <w:rsid w:val="00E11E48"/>
    <w:rsid w:val="00E15957"/>
    <w:rsid w:val="00E3361C"/>
    <w:rsid w:val="00E35E83"/>
    <w:rsid w:val="00E4454D"/>
    <w:rsid w:val="00E45637"/>
    <w:rsid w:val="00E63903"/>
    <w:rsid w:val="00E64C02"/>
    <w:rsid w:val="00E8237D"/>
    <w:rsid w:val="00E8661F"/>
    <w:rsid w:val="00E93BB5"/>
    <w:rsid w:val="00E9516B"/>
    <w:rsid w:val="00EA39A8"/>
    <w:rsid w:val="00EA3F90"/>
    <w:rsid w:val="00EA6C16"/>
    <w:rsid w:val="00EB1553"/>
    <w:rsid w:val="00ED4AFC"/>
    <w:rsid w:val="00EF1468"/>
    <w:rsid w:val="00EF1FC1"/>
    <w:rsid w:val="00EF3B5B"/>
    <w:rsid w:val="00EF77F4"/>
    <w:rsid w:val="00F00981"/>
    <w:rsid w:val="00F00B5B"/>
    <w:rsid w:val="00F06364"/>
    <w:rsid w:val="00F15764"/>
    <w:rsid w:val="00F15F6A"/>
    <w:rsid w:val="00F238EA"/>
    <w:rsid w:val="00F26BAD"/>
    <w:rsid w:val="00F337DE"/>
    <w:rsid w:val="00F338A0"/>
    <w:rsid w:val="00F35F73"/>
    <w:rsid w:val="00F424C4"/>
    <w:rsid w:val="00F44548"/>
    <w:rsid w:val="00F448CE"/>
    <w:rsid w:val="00F740C3"/>
    <w:rsid w:val="00F847EB"/>
    <w:rsid w:val="00F944C8"/>
    <w:rsid w:val="00F96FAA"/>
    <w:rsid w:val="00FA1D9E"/>
    <w:rsid w:val="00FA5B77"/>
    <w:rsid w:val="00FB44B0"/>
    <w:rsid w:val="00FB713A"/>
    <w:rsid w:val="00FC06DF"/>
    <w:rsid w:val="00FC2134"/>
    <w:rsid w:val="00FC7BDC"/>
    <w:rsid w:val="00FD3E75"/>
    <w:rsid w:val="00FD6351"/>
    <w:rsid w:val="00FE1DD8"/>
    <w:rsid w:val="00FE4BD2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51EA"/>
  <w15:chartTrackingRefBased/>
  <w15:docId w15:val="{AC262C43-BABD-4FE1-84D2-47ECD83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63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31A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1A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40D6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11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ee60e-f095-41ab-b47c-8cfb5666c3ec">
      <Terms xmlns="http://schemas.microsoft.com/office/infopath/2007/PartnerControls"/>
    </lcf76f155ced4ddcb4097134ff3c332f>
    <TaxCatchAll xmlns="ff981545-4ae8-48de-b38c-9ba42b999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C4C3DDD893840AD9DFFCC9DBCEABC" ma:contentTypeVersion="16" ma:contentTypeDescription="Opprett et nytt dokument." ma:contentTypeScope="" ma:versionID="39d64c44c420b8952199e2fa9bf09dee">
  <xsd:schema xmlns:xsd="http://www.w3.org/2001/XMLSchema" xmlns:xs="http://www.w3.org/2001/XMLSchema" xmlns:p="http://schemas.microsoft.com/office/2006/metadata/properties" xmlns:ns2="950ee60e-f095-41ab-b47c-8cfb5666c3ec" xmlns:ns3="ff981545-4ae8-48de-b38c-9ba42b9996f6" targetNamespace="http://schemas.microsoft.com/office/2006/metadata/properties" ma:root="true" ma:fieldsID="5ee7cd3817b77e1c9821f87140e60564" ns2:_="" ns3:_="">
    <xsd:import namespace="950ee60e-f095-41ab-b47c-8cfb5666c3ec"/>
    <xsd:import namespace="ff981545-4ae8-48de-b38c-9ba42b999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e60e-f095-41ab-b47c-8cfb5666c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fa4dd0e-42b9-496f-a933-680cb7d0f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81545-4ae8-48de-b38c-9ba42b999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ce514-fe39-461f-bbfe-90d69afdf2e5}" ma:internalName="TaxCatchAll" ma:showField="CatchAllData" ma:web="ff981545-4ae8-48de-b38c-9ba42b999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66757-85F1-4730-9DAF-7C95E12273C9}">
  <ds:schemaRefs>
    <ds:schemaRef ds:uri="http://schemas.microsoft.com/office/2006/metadata/properties"/>
    <ds:schemaRef ds:uri="http://schemas.microsoft.com/office/infopath/2007/PartnerControls"/>
    <ds:schemaRef ds:uri="950ee60e-f095-41ab-b47c-8cfb5666c3ec"/>
    <ds:schemaRef ds:uri="ff981545-4ae8-48de-b38c-9ba42b9996f6"/>
  </ds:schemaRefs>
</ds:datastoreItem>
</file>

<file path=customXml/itemProps2.xml><?xml version="1.0" encoding="utf-8"?>
<ds:datastoreItem xmlns:ds="http://schemas.openxmlformats.org/officeDocument/2006/customXml" ds:itemID="{977A6D6F-8E19-4B22-81FD-66DEDF236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ee60e-f095-41ab-b47c-8cfb5666c3ec"/>
    <ds:schemaRef ds:uri="ff981545-4ae8-48de-b38c-9ba42b999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E714-9FDD-4E34-A07D-37CDA1F13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BE8F9-8D38-432C-9725-522DE1113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1763</Words>
  <Characters>9345</Characters>
  <Application>Microsoft Office Word</Application>
  <DocSecurity>0</DocSecurity>
  <Lines>77</Lines>
  <Paragraphs>22</Paragraphs>
  <ScaleCrop>false</ScaleCrop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Larsen</dc:creator>
  <cp:keywords/>
  <dc:description/>
  <cp:lastModifiedBy>Jørund Dorholt</cp:lastModifiedBy>
  <cp:revision>64</cp:revision>
  <dcterms:created xsi:type="dcterms:W3CDTF">2023-06-21T08:35:00Z</dcterms:created>
  <dcterms:modified xsi:type="dcterms:W3CDTF">2023-06-28T08:35:00Z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0x0101000EBC4C3DDD893840AD9DFFCC9DBCEABC</vt:lpwstr>
  </property>
  <property fmtid="{D5CDD505-2E9C-101B-9397-08002B2CF9AE}" pid="3" name="MediaServiceImageTags">
    <vt:lpwstr/>
  </property>
</Properties>
</file>